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880C4" w14:textId="77777777" w:rsidR="00551532" w:rsidRDefault="00551532" w:rsidP="00742128">
      <w:pPr>
        <w:adjustRightInd w:val="0"/>
        <w:snapToGrid w:val="0"/>
        <w:spacing w:line="360" w:lineRule="auto"/>
        <w:jc w:val="center"/>
        <w:outlineLvl w:val="0"/>
        <w:rPr>
          <w:rFonts w:ascii="宋体" w:hAnsi="宋体"/>
          <w:b/>
          <w:sz w:val="30"/>
          <w:szCs w:val="30"/>
        </w:rPr>
      </w:pPr>
      <w:bookmarkStart w:id="0" w:name="_Hlk6836353"/>
      <w:bookmarkStart w:id="1" w:name="_Hlk6836467"/>
      <w:bookmarkStart w:id="2" w:name="_GoBack"/>
      <w:bookmarkEnd w:id="2"/>
    </w:p>
    <w:p w14:paraId="1D9BD399" w14:textId="77777777" w:rsidR="009E5C1D" w:rsidRDefault="00FE703B" w:rsidP="005252D4">
      <w:pPr>
        <w:adjustRightInd w:val="0"/>
        <w:snapToGrid w:val="0"/>
        <w:spacing w:line="360" w:lineRule="auto"/>
        <w:jc w:val="center"/>
        <w:outlineLvl w:val="0"/>
        <w:rPr>
          <w:rFonts w:ascii="宋体" w:hAnsi="宋体"/>
          <w:b/>
          <w:sz w:val="30"/>
          <w:szCs w:val="30"/>
        </w:rPr>
      </w:pPr>
      <w:r w:rsidRPr="00FE703B">
        <w:rPr>
          <w:rFonts w:ascii="宋体" w:hAnsi="宋体" w:hint="eastAsia"/>
          <w:b/>
          <w:sz w:val="30"/>
          <w:szCs w:val="30"/>
        </w:rPr>
        <w:t>浙商基金管理有限公司</w:t>
      </w:r>
      <w:r w:rsidR="000D56CD" w:rsidRPr="00FE703B">
        <w:rPr>
          <w:rFonts w:ascii="宋体" w:hAnsi="宋体" w:hint="eastAsia"/>
          <w:b/>
          <w:sz w:val="30"/>
          <w:szCs w:val="30"/>
        </w:rPr>
        <w:t>关于新增</w:t>
      </w:r>
    </w:p>
    <w:p w14:paraId="397ECB2B" w14:textId="524C0FE9" w:rsidR="00742128" w:rsidRDefault="001C0D1E" w:rsidP="005252D4">
      <w:pPr>
        <w:adjustRightInd w:val="0"/>
        <w:snapToGrid w:val="0"/>
        <w:spacing w:line="360" w:lineRule="auto"/>
        <w:jc w:val="center"/>
        <w:outlineLvl w:val="0"/>
        <w:rPr>
          <w:rFonts w:ascii="宋体" w:hAnsi="宋体"/>
          <w:b/>
          <w:sz w:val="30"/>
          <w:szCs w:val="30"/>
        </w:rPr>
      </w:pPr>
      <w:r>
        <w:rPr>
          <w:rFonts w:ascii="宋体" w:hAnsi="宋体" w:hint="eastAsia"/>
          <w:b/>
          <w:sz w:val="30"/>
          <w:szCs w:val="30"/>
        </w:rPr>
        <w:t>国泰君安证券</w:t>
      </w:r>
      <w:r w:rsidR="00E16BBC">
        <w:rPr>
          <w:rFonts w:ascii="宋体" w:hAnsi="宋体" w:hint="eastAsia"/>
          <w:b/>
          <w:sz w:val="30"/>
          <w:szCs w:val="30"/>
        </w:rPr>
        <w:t>股份有限公司</w:t>
      </w:r>
      <w:r w:rsidR="000D56CD" w:rsidRPr="00FE703B">
        <w:rPr>
          <w:rFonts w:ascii="宋体" w:hAnsi="宋体" w:hint="eastAsia"/>
          <w:b/>
          <w:sz w:val="30"/>
          <w:szCs w:val="30"/>
        </w:rPr>
        <w:t>为</w:t>
      </w:r>
    </w:p>
    <w:p w14:paraId="3586F46E" w14:textId="01B69535" w:rsidR="00C5214F" w:rsidRDefault="00184790" w:rsidP="009E5C1D">
      <w:pPr>
        <w:adjustRightInd w:val="0"/>
        <w:snapToGrid w:val="0"/>
        <w:spacing w:line="360" w:lineRule="auto"/>
        <w:jc w:val="center"/>
        <w:outlineLvl w:val="0"/>
        <w:rPr>
          <w:rFonts w:ascii="宋体" w:hAnsi="宋体"/>
          <w:b/>
          <w:sz w:val="30"/>
          <w:szCs w:val="30"/>
        </w:rPr>
      </w:pPr>
      <w:r>
        <w:rPr>
          <w:rFonts w:ascii="宋体" w:hAnsi="宋体" w:hint="eastAsia"/>
          <w:b/>
          <w:sz w:val="30"/>
          <w:szCs w:val="30"/>
        </w:rPr>
        <w:t>浙商日添金货币市场基金</w:t>
      </w:r>
      <w:r w:rsidR="00FE703B" w:rsidRPr="00FE703B">
        <w:rPr>
          <w:rFonts w:ascii="宋体" w:hAnsi="宋体" w:hint="eastAsia"/>
          <w:b/>
          <w:sz w:val="30"/>
          <w:szCs w:val="30"/>
        </w:rPr>
        <w:t>销售机构的公告</w:t>
      </w:r>
    </w:p>
    <w:bookmarkEnd w:id="0"/>
    <w:p w14:paraId="6FB77410" w14:textId="77777777" w:rsidR="004B4AC5" w:rsidRPr="00812305" w:rsidRDefault="004B4AC5" w:rsidP="004B4AC5">
      <w:pPr>
        <w:adjustRightInd w:val="0"/>
        <w:snapToGrid w:val="0"/>
        <w:spacing w:line="360" w:lineRule="auto"/>
        <w:rPr>
          <w:rFonts w:ascii="宋体" w:hAnsi="宋体"/>
          <w:sz w:val="24"/>
        </w:rPr>
      </w:pPr>
    </w:p>
    <w:p w14:paraId="6BEC75A2" w14:textId="7E730527" w:rsidR="004B4AC5" w:rsidRDefault="004B4AC5" w:rsidP="004B4AC5">
      <w:pPr>
        <w:pStyle w:val="a4"/>
        <w:spacing w:line="390" w:lineRule="atLeast"/>
        <w:rPr>
          <w:rFonts w:ascii="Helvetica" w:hAnsi="Helvetica" w:cs="Helvetica"/>
          <w:color w:val="333333"/>
          <w:sz w:val="21"/>
          <w:szCs w:val="21"/>
        </w:rPr>
      </w:pPr>
      <w:r>
        <w:rPr>
          <w:rFonts w:hint="eastAsia"/>
          <w:sz w:val="21"/>
          <w:szCs w:val="21"/>
        </w:rPr>
        <w:t>浙商基金管理有限公司（以下简称“本公司”）与</w:t>
      </w:r>
      <w:r w:rsidR="001C0D1E">
        <w:rPr>
          <w:rFonts w:hint="eastAsia"/>
          <w:sz w:val="21"/>
          <w:szCs w:val="21"/>
        </w:rPr>
        <w:t>国泰君安证券</w:t>
      </w:r>
      <w:r w:rsidR="00500014" w:rsidRPr="00500014">
        <w:rPr>
          <w:rFonts w:hint="eastAsia"/>
          <w:sz w:val="21"/>
          <w:szCs w:val="21"/>
        </w:rPr>
        <w:t>股份有限公司</w:t>
      </w:r>
      <w:r w:rsidR="00D759BF">
        <w:rPr>
          <w:rFonts w:hint="eastAsia"/>
          <w:sz w:val="21"/>
          <w:szCs w:val="21"/>
        </w:rPr>
        <w:t>（以下简称“</w:t>
      </w:r>
      <w:r w:rsidR="001C0D1E" w:rsidRPr="001C0D1E">
        <w:rPr>
          <w:rFonts w:hint="eastAsia"/>
          <w:sz w:val="21"/>
          <w:szCs w:val="21"/>
        </w:rPr>
        <w:t>国泰君安证券</w:t>
      </w:r>
      <w:r w:rsidR="00D759BF">
        <w:rPr>
          <w:rFonts w:hint="eastAsia"/>
          <w:sz w:val="21"/>
          <w:szCs w:val="21"/>
        </w:rPr>
        <w:t>”）</w:t>
      </w:r>
      <w:r w:rsidR="00526CFE">
        <w:rPr>
          <w:rFonts w:hint="eastAsia"/>
          <w:sz w:val="21"/>
          <w:szCs w:val="21"/>
        </w:rPr>
        <w:t>协商一致</w:t>
      </w:r>
      <w:r>
        <w:rPr>
          <w:rFonts w:hint="eastAsia"/>
          <w:sz w:val="21"/>
          <w:szCs w:val="21"/>
        </w:rPr>
        <w:t>，自</w:t>
      </w:r>
      <w:r w:rsidR="00184790">
        <w:rPr>
          <w:rFonts w:hint="eastAsia"/>
          <w:sz w:val="21"/>
          <w:szCs w:val="21"/>
        </w:rPr>
        <w:t>2021年</w:t>
      </w:r>
      <w:r w:rsidR="00184790">
        <w:rPr>
          <w:sz w:val="21"/>
          <w:szCs w:val="21"/>
        </w:rPr>
        <w:t>12</w:t>
      </w:r>
      <w:r>
        <w:rPr>
          <w:rFonts w:hint="eastAsia"/>
          <w:sz w:val="21"/>
          <w:szCs w:val="21"/>
        </w:rPr>
        <w:t>月</w:t>
      </w:r>
      <w:r w:rsidR="00184790">
        <w:rPr>
          <w:sz w:val="21"/>
          <w:szCs w:val="21"/>
        </w:rPr>
        <w:t>31</w:t>
      </w:r>
      <w:r>
        <w:rPr>
          <w:rFonts w:hint="eastAsia"/>
          <w:sz w:val="21"/>
          <w:szCs w:val="21"/>
        </w:rPr>
        <w:t>日起，</w:t>
      </w:r>
      <w:r w:rsidR="00526CFE">
        <w:rPr>
          <w:rFonts w:hint="eastAsia"/>
          <w:sz w:val="21"/>
          <w:szCs w:val="21"/>
        </w:rPr>
        <w:t>本公司新增</w:t>
      </w:r>
      <w:r w:rsidR="001C0D1E">
        <w:rPr>
          <w:rFonts w:hint="eastAsia"/>
          <w:sz w:val="21"/>
          <w:szCs w:val="21"/>
        </w:rPr>
        <w:t>国泰君安证券</w:t>
      </w:r>
      <w:r w:rsidR="00526CFE">
        <w:rPr>
          <w:rFonts w:hint="eastAsia"/>
          <w:sz w:val="21"/>
          <w:szCs w:val="21"/>
        </w:rPr>
        <w:t>为</w:t>
      </w:r>
      <w:r w:rsidR="00184790">
        <w:rPr>
          <w:rFonts w:hint="eastAsia"/>
          <w:sz w:val="21"/>
          <w:szCs w:val="21"/>
        </w:rPr>
        <w:t>浙商日添金货币市场基金</w:t>
      </w:r>
      <w:r w:rsidR="00466B80" w:rsidRPr="00466B80">
        <w:rPr>
          <w:rFonts w:hint="eastAsia"/>
          <w:sz w:val="21"/>
          <w:szCs w:val="21"/>
        </w:rPr>
        <w:t>（以下简称“本基金”）</w:t>
      </w:r>
      <w:r>
        <w:rPr>
          <w:rFonts w:hint="eastAsia"/>
          <w:sz w:val="21"/>
          <w:szCs w:val="21"/>
        </w:rPr>
        <w:t>的</w:t>
      </w:r>
      <w:r w:rsidR="00526CFE">
        <w:rPr>
          <w:rFonts w:hint="eastAsia"/>
          <w:sz w:val="21"/>
          <w:szCs w:val="21"/>
        </w:rPr>
        <w:t>销售机构，</w:t>
      </w:r>
      <w:r w:rsidR="00BD414A">
        <w:rPr>
          <w:rFonts w:hint="eastAsia"/>
          <w:sz w:val="21"/>
          <w:szCs w:val="21"/>
        </w:rPr>
        <w:t>办理</w:t>
      </w:r>
      <w:r w:rsidR="00D2367B" w:rsidRPr="00D2367B">
        <w:rPr>
          <w:rFonts w:hint="eastAsia"/>
          <w:sz w:val="21"/>
          <w:szCs w:val="21"/>
        </w:rPr>
        <w:t>申购、赎回、定期定额投资（以下简称“定投”）和转换等销售业务</w:t>
      </w:r>
      <w:r>
        <w:rPr>
          <w:rFonts w:hint="eastAsia"/>
          <w:sz w:val="21"/>
          <w:szCs w:val="21"/>
        </w:rPr>
        <w:t>。</w:t>
      </w:r>
      <w:r>
        <w:rPr>
          <w:rFonts w:cs="Times New Roman" w:hint="eastAsia"/>
          <w:sz w:val="21"/>
          <w:szCs w:val="21"/>
        </w:rPr>
        <w:t>具体公告如下：</w:t>
      </w:r>
    </w:p>
    <w:p w14:paraId="6969B060" w14:textId="77777777" w:rsidR="004B4AC5" w:rsidRDefault="004B4AC5" w:rsidP="004B4AC5">
      <w:pPr>
        <w:adjustRightInd w:val="0"/>
        <w:snapToGrid w:val="0"/>
        <w:spacing w:line="360" w:lineRule="auto"/>
        <w:ind w:firstLineChars="200" w:firstLine="420"/>
        <w:rPr>
          <w:rFonts w:ascii="宋体" w:hAnsi="宋体" w:cs="宋体"/>
          <w:color w:val="333333"/>
          <w:kern w:val="0"/>
          <w:szCs w:val="21"/>
        </w:rPr>
      </w:pPr>
    </w:p>
    <w:p w14:paraId="16A03BB4" w14:textId="02E3904E" w:rsidR="004B4AC5" w:rsidRDefault="004B4AC5">
      <w:pPr>
        <w:adjustRightInd w:val="0"/>
        <w:snapToGrid w:val="0"/>
        <w:spacing w:line="360" w:lineRule="auto"/>
        <w:ind w:firstLineChars="200" w:firstLine="420"/>
        <w:rPr>
          <w:rFonts w:ascii="宋体" w:hAnsi="宋体"/>
          <w:szCs w:val="21"/>
        </w:rPr>
      </w:pPr>
      <w:r>
        <w:rPr>
          <w:rFonts w:ascii="宋体" w:hAnsi="宋体" w:hint="eastAsia"/>
          <w:szCs w:val="21"/>
        </w:rPr>
        <w:t>一、适用基金</w:t>
      </w:r>
    </w:p>
    <w:tbl>
      <w:tblPr>
        <w:tblW w:w="504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1"/>
        <w:gridCol w:w="2302"/>
      </w:tblGrid>
      <w:tr w:rsidR="004B4AC5" w14:paraId="6CB0BBBA" w14:textId="77777777" w:rsidTr="00AD68AA">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center"/>
            <w:hideMark/>
          </w:tcPr>
          <w:p w14:paraId="1C1F204A" w14:textId="77777777" w:rsidR="004B4AC5" w:rsidRDefault="004B4AC5">
            <w:pPr>
              <w:widowControl/>
              <w:spacing w:before="225" w:after="225" w:line="360" w:lineRule="atLeast"/>
              <w:jc w:val="center"/>
              <w:rPr>
                <w:rFonts w:ascii="宋体" w:hAnsi="宋体" w:cs="宋体"/>
                <w:kern w:val="0"/>
                <w:szCs w:val="21"/>
              </w:rPr>
            </w:pPr>
            <w:r>
              <w:rPr>
                <w:rFonts w:ascii="宋体" w:hAnsi="宋体" w:cs="宋体" w:hint="eastAsia"/>
                <w:kern w:val="0"/>
                <w:szCs w:val="21"/>
              </w:rPr>
              <w:t>基金名称</w:t>
            </w:r>
          </w:p>
        </w:tc>
        <w:tc>
          <w:tcPr>
            <w:tcW w:w="1368" w:type="pct"/>
            <w:tcBorders>
              <w:top w:val="outset" w:sz="6" w:space="0" w:color="auto"/>
              <w:left w:val="outset" w:sz="6" w:space="0" w:color="auto"/>
              <w:bottom w:val="outset" w:sz="6" w:space="0" w:color="auto"/>
              <w:right w:val="outset" w:sz="6" w:space="0" w:color="auto"/>
            </w:tcBorders>
            <w:vAlign w:val="center"/>
            <w:hideMark/>
          </w:tcPr>
          <w:p w14:paraId="71267DB0" w14:textId="77777777" w:rsidR="004B4AC5" w:rsidRDefault="004B4AC5">
            <w:pPr>
              <w:widowControl/>
              <w:spacing w:before="225" w:after="225" w:line="360" w:lineRule="atLeast"/>
              <w:jc w:val="center"/>
              <w:rPr>
                <w:rFonts w:ascii="宋体" w:hAnsi="宋体" w:cs="宋体"/>
                <w:kern w:val="0"/>
                <w:szCs w:val="21"/>
              </w:rPr>
            </w:pPr>
            <w:r>
              <w:rPr>
                <w:rFonts w:ascii="宋体" w:hAnsi="宋体" w:cs="宋体" w:hint="eastAsia"/>
                <w:kern w:val="0"/>
                <w:szCs w:val="21"/>
              </w:rPr>
              <w:t>基金代码</w:t>
            </w:r>
          </w:p>
        </w:tc>
      </w:tr>
      <w:tr w:rsidR="00C62E0F" w:rsidRPr="00C62E0F" w14:paraId="02B3CE0A" w14:textId="77777777" w:rsidTr="00AD68AA">
        <w:trPr>
          <w:trHeight w:val="20"/>
          <w:tblCellSpacing w:w="0" w:type="dxa"/>
        </w:trPr>
        <w:tc>
          <w:tcPr>
            <w:tcW w:w="3632" w:type="pct"/>
            <w:tcBorders>
              <w:top w:val="outset" w:sz="6" w:space="0" w:color="auto"/>
              <w:left w:val="outset" w:sz="6" w:space="0" w:color="auto"/>
              <w:bottom w:val="outset" w:sz="6" w:space="0" w:color="auto"/>
              <w:right w:val="outset" w:sz="6" w:space="0" w:color="auto"/>
            </w:tcBorders>
            <w:shd w:val="clear" w:color="auto" w:fill="auto"/>
            <w:vAlign w:val="center"/>
          </w:tcPr>
          <w:p w14:paraId="1ACFF072" w14:textId="449AABF4" w:rsidR="00C62E0F" w:rsidRPr="002A5362" w:rsidRDefault="00184790" w:rsidP="00AD68AA">
            <w:pPr>
              <w:widowControl/>
              <w:spacing w:before="225" w:after="225"/>
              <w:jc w:val="center"/>
              <w:rPr>
                <w:rFonts w:ascii="宋体" w:hAnsi="宋体"/>
                <w:szCs w:val="21"/>
              </w:rPr>
            </w:pPr>
            <w:r>
              <w:rPr>
                <w:rFonts w:ascii="宋体" w:hAnsi="宋体" w:hint="eastAsia"/>
                <w:szCs w:val="21"/>
              </w:rPr>
              <w:t>浙商日添金货币市场基金</w:t>
            </w:r>
            <w:r w:rsidR="00507D8C">
              <w:rPr>
                <w:rFonts w:ascii="宋体" w:hAnsi="宋体" w:hint="eastAsia"/>
                <w:szCs w:val="21"/>
              </w:rPr>
              <w:t>A</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tcPr>
          <w:p w14:paraId="3647FCA3" w14:textId="7CC38D86" w:rsidR="00C62E0F" w:rsidRPr="002A5362" w:rsidRDefault="00184790" w:rsidP="00AD68AA">
            <w:pPr>
              <w:widowControl/>
              <w:spacing w:before="225" w:after="225"/>
              <w:jc w:val="center"/>
              <w:rPr>
                <w:rFonts w:ascii="宋体" w:hAnsi="宋体"/>
                <w:szCs w:val="21"/>
              </w:rPr>
            </w:pPr>
            <w:r w:rsidRPr="001D76D0">
              <w:rPr>
                <w:rFonts w:ascii="宋体" w:hAnsi="宋体"/>
                <w:szCs w:val="21"/>
              </w:rPr>
              <w:t>00</w:t>
            </w:r>
            <w:r>
              <w:rPr>
                <w:rFonts w:ascii="宋体" w:hAnsi="宋体"/>
                <w:szCs w:val="21"/>
              </w:rPr>
              <w:t>3874</w:t>
            </w:r>
          </w:p>
        </w:tc>
      </w:tr>
      <w:tr w:rsidR="00C62E0F" w:rsidRPr="00C62E0F" w14:paraId="2024644B" w14:textId="77777777" w:rsidTr="00AD68AA">
        <w:trPr>
          <w:trHeight w:val="20"/>
          <w:tblCellSpacing w:w="0" w:type="dxa"/>
        </w:trPr>
        <w:tc>
          <w:tcPr>
            <w:tcW w:w="3632" w:type="pct"/>
            <w:tcBorders>
              <w:top w:val="outset" w:sz="6" w:space="0" w:color="auto"/>
              <w:left w:val="outset" w:sz="6" w:space="0" w:color="auto"/>
              <w:bottom w:val="outset" w:sz="6" w:space="0" w:color="auto"/>
              <w:right w:val="outset" w:sz="6" w:space="0" w:color="auto"/>
            </w:tcBorders>
            <w:shd w:val="clear" w:color="auto" w:fill="auto"/>
            <w:vAlign w:val="center"/>
          </w:tcPr>
          <w:p w14:paraId="46F3FA6C" w14:textId="031856EB" w:rsidR="00C62E0F" w:rsidRPr="002A5362" w:rsidRDefault="00184790" w:rsidP="00AD68AA">
            <w:pPr>
              <w:widowControl/>
              <w:spacing w:before="225" w:after="225"/>
              <w:jc w:val="center"/>
              <w:rPr>
                <w:rFonts w:ascii="宋体" w:hAnsi="宋体"/>
                <w:szCs w:val="21"/>
              </w:rPr>
            </w:pPr>
            <w:r>
              <w:rPr>
                <w:rFonts w:ascii="宋体" w:hAnsi="宋体" w:hint="eastAsia"/>
                <w:szCs w:val="21"/>
              </w:rPr>
              <w:t>浙商日添金货币市场基金</w:t>
            </w:r>
            <w:r>
              <w:rPr>
                <w:rFonts w:ascii="宋体" w:hAnsi="宋体"/>
                <w:szCs w:val="21"/>
              </w:rPr>
              <w:t>B</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tcPr>
          <w:p w14:paraId="18DAE232" w14:textId="57CB16B7" w:rsidR="00C62E0F" w:rsidRPr="002A5362" w:rsidRDefault="00184790" w:rsidP="00AD68AA">
            <w:pPr>
              <w:widowControl/>
              <w:spacing w:before="225" w:after="225"/>
              <w:jc w:val="center"/>
              <w:rPr>
                <w:rFonts w:ascii="宋体" w:hAnsi="宋体"/>
                <w:szCs w:val="21"/>
              </w:rPr>
            </w:pPr>
            <w:r w:rsidRPr="001D76D0">
              <w:rPr>
                <w:rFonts w:ascii="宋体" w:hAnsi="宋体"/>
                <w:szCs w:val="21"/>
              </w:rPr>
              <w:t>00</w:t>
            </w:r>
            <w:r>
              <w:rPr>
                <w:rFonts w:ascii="宋体" w:hAnsi="宋体"/>
                <w:szCs w:val="21"/>
              </w:rPr>
              <w:t>3875</w:t>
            </w:r>
          </w:p>
        </w:tc>
      </w:tr>
    </w:tbl>
    <w:p w14:paraId="5D2887D6" w14:textId="77777777" w:rsidR="001F17E7" w:rsidRPr="006E2B80" w:rsidRDefault="001F17E7">
      <w:pPr>
        <w:pStyle w:val="a4"/>
        <w:spacing w:line="390" w:lineRule="atLeast"/>
        <w:rPr>
          <w:sz w:val="21"/>
          <w:szCs w:val="21"/>
        </w:rPr>
      </w:pPr>
    </w:p>
    <w:p w14:paraId="1493BABD" w14:textId="1B52A47D" w:rsidR="00393F7A" w:rsidRDefault="00F27F4C" w:rsidP="00A861BD">
      <w:pPr>
        <w:pStyle w:val="a4"/>
        <w:spacing w:line="390" w:lineRule="atLeast"/>
        <w:rPr>
          <w:rFonts w:cs="Times New Roman"/>
          <w:kern w:val="2"/>
          <w:sz w:val="21"/>
          <w:szCs w:val="21"/>
        </w:rPr>
      </w:pPr>
      <w:r>
        <w:rPr>
          <w:rFonts w:cs="Times New Roman" w:hint="eastAsia"/>
          <w:kern w:val="2"/>
          <w:sz w:val="21"/>
          <w:szCs w:val="21"/>
        </w:rPr>
        <w:t>二</w:t>
      </w:r>
      <w:r w:rsidR="00A861BD">
        <w:rPr>
          <w:rFonts w:cs="Times New Roman"/>
          <w:kern w:val="2"/>
          <w:sz w:val="21"/>
          <w:szCs w:val="21"/>
        </w:rPr>
        <w:t>、</w:t>
      </w:r>
      <w:r w:rsidR="004B4AC5">
        <w:rPr>
          <w:rFonts w:cs="Times New Roman" w:hint="eastAsia"/>
          <w:kern w:val="2"/>
          <w:sz w:val="21"/>
          <w:szCs w:val="21"/>
        </w:rPr>
        <w:t>风险提示</w:t>
      </w:r>
    </w:p>
    <w:p w14:paraId="0310EC45" w14:textId="7AAFD0EC" w:rsidR="004B4AC5" w:rsidRDefault="00D54347" w:rsidP="002105D9">
      <w:pPr>
        <w:pStyle w:val="a4"/>
        <w:spacing w:line="390" w:lineRule="atLeast"/>
        <w:ind w:firstLineChars="200" w:firstLine="420"/>
        <w:rPr>
          <w:sz w:val="21"/>
          <w:szCs w:val="21"/>
        </w:rPr>
      </w:pPr>
      <w:r>
        <w:rPr>
          <w:rFonts w:hint="eastAsia"/>
          <w:sz w:val="21"/>
          <w:szCs w:val="21"/>
        </w:rPr>
        <w:t>1、</w:t>
      </w:r>
      <w:r w:rsidR="004B4AC5" w:rsidRPr="00C46F3C">
        <w:rPr>
          <w:rFonts w:hint="eastAsia"/>
          <w:sz w:val="21"/>
          <w:szCs w:val="21"/>
        </w:rPr>
        <w:t>基金管理人依照恪尽职守、诚实信用、谨慎勤勉的原则管理和运用基金财产，但不保证基金一定盈利，也不保证最低收益。基金管理人提醒投资者基金投资的“买者自负”原则，在做出投资决策后，基金运营状况与基金净值变化引致的投资风险，由投资者自行承担。</w:t>
      </w:r>
      <w:r w:rsidR="004B4AC5" w:rsidRPr="00D54347">
        <w:rPr>
          <w:rFonts w:hint="eastAsia"/>
          <w:sz w:val="21"/>
          <w:szCs w:val="21"/>
        </w:rPr>
        <w:t>投资有风险，选择须谨慎</w:t>
      </w:r>
      <w:r w:rsidR="004B4AC5" w:rsidRPr="00C46F3C">
        <w:rPr>
          <w:rFonts w:hint="eastAsia"/>
          <w:sz w:val="21"/>
          <w:szCs w:val="21"/>
        </w:rPr>
        <w:t>。敬请投资者于投资前认真阅读</w:t>
      </w:r>
      <w:r w:rsidR="008B1A6E">
        <w:rPr>
          <w:rFonts w:hint="eastAsia"/>
          <w:sz w:val="21"/>
          <w:szCs w:val="21"/>
        </w:rPr>
        <w:t>各</w:t>
      </w:r>
      <w:r w:rsidR="004B4AC5" w:rsidRPr="00C46F3C">
        <w:rPr>
          <w:rFonts w:hint="eastAsia"/>
          <w:sz w:val="21"/>
          <w:szCs w:val="21"/>
        </w:rPr>
        <w:t>基金的基金合同、最新招募说明书及其他法律文件。</w:t>
      </w:r>
    </w:p>
    <w:p w14:paraId="3B2CEA23" w14:textId="4C7D0AE7" w:rsidR="00551532" w:rsidRPr="004F3DA3" w:rsidRDefault="004F3DA3" w:rsidP="004F3DA3">
      <w:pPr>
        <w:pStyle w:val="a4"/>
        <w:spacing w:line="390" w:lineRule="atLeast"/>
        <w:ind w:firstLineChars="200" w:firstLine="420"/>
        <w:rPr>
          <w:sz w:val="21"/>
          <w:szCs w:val="21"/>
        </w:rPr>
      </w:pPr>
      <w:r w:rsidRPr="004F3DA3">
        <w:rPr>
          <w:rFonts w:hint="eastAsia"/>
          <w:sz w:val="21"/>
          <w:szCs w:val="21"/>
        </w:rPr>
        <w:t>2、投资者应当充分了解基金定投和零存整取等储蓄方式的区别。定投是引导投资者进行长期投资、平均投资成本的一种简单易行的投资方式，但是其并不能规避基金投资所固有的风险，不能保证投资者获得收益，也不是替代储蓄的等效理财方式。</w:t>
      </w:r>
    </w:p>
    <w:p w14:paraId="123F990F" w14:textId="14EE51E8" w:rsidR="004F3DA3" w:rsidRDefault="004F3DA3">
      <w:pPr>
        <w:pStyle w:val="a4"/>
        <w:spacing w:line="390" w:lineRule="atLeast"/>
        <w:ind w:firstLineChars="200" w:firstLine="420"/>
        <w:rPr>
          <w:sz w:val="21"/>
          <w:szCs w:val="21"/>
        </w:rPr>
      </w:pPr>
    </w:p>
    <w:p w14:paraId="0F3FF23D" w14:textId="2177E7BF" w:rsidR="00F27F4C" w:rsidRPr="00F27F4C" w:rsidRDefault="00F27F4C">
      <w:pPr>
        <w:pStyle w:val="a4"/>
        <w:spacing w:line="390" w:lineRule="atLeast"/>
        <w:ind w:firstLineChars="200" w:firstLine="420"/>
        <w:rPr>
          <w:sz w:val="21"/>
          <w:szCs w:val="21"/>
        </w:rPr>
      </w:pPr>
      <w:r w:rsidRPr="00F27F4C">
        <w:rPr>
          <w:rFonts w:hint="eastAsia"/>
          <w:sz w:val="21"/>
          <w:szCs w:val="21"/>
        </w:rPr>
        <w:t>三、</w:t>
      </w:r>
      <w:r w:rsidR="009D276B" w:rsidRPr="009D276B">
        <w:rPr>
          <w:rFonts w:hint="eastAsia"/>
          <w:sz w:val="21"/>
          <w:szCs w:val="21"/>
        </w:rPr>
        <w:t>投资者可以通过以下途径查询相关详情</w:t>
      </w:r>
    </w:p>
    <w:p w14:paraId="0D0021B0" w14:textId="77777777" w:rsidR="009D276B" w:rsidRPr="009D276B" w:rsidRDefault="00F27F4C" w:rsidP="009D276B">
      <w:pPr>
        <w:pStyle w:val="a4"/>
        <w:spacing w:line="390" w:lineRule="atLeast"/>
        <w:ind w:firstLineChars="200" w:firstLine="420"/>
        <w:rPr>
          <w:sz w:val="21"/>
          <w:szCs w:val="21"/>
        </w:rPr>
      </w:pPr>
      <w:r w:rsidRPr="00F27F4C">
        <w:rPr>
          <w:rFonts w:hint="eastAsia"/>
          <w:sz w:val="21"/>
          <w:szCs w:val="21"/>
        </w:rPr>
        <w:t xml:space="preserve"> </w:t>
      </w:r>
      <w:r w:rsidR="009D276B" w:rsidRPr="009D276B">
        <w:rPr>
          <w:rFonts w:hint="eastAsia"/>
          <w:sz w:val="21"/>
          <w:szCs w:val="21"/>
        </w:rPr>
        <w:t>1、浙商基金管理有限公司</w:t>
      </w:r>
    </w:p>
    <w:p w14:paraId="591924DE" w14:textId="77777777" w:rsidR="009D276B" w:rsidRPr="009D276B" w:rsidRDefault="009D276B" w:rsidP="009D276B">
      <w:pPr>
        <w:pStyle w:val="a4"/>
        <w:spacing w:line="390" w:lineRule="atLeast"/>
        <w:ind w:firstLineChars="200" w:firstLine="420"/>
        <w:rPr>
          <w:sz w:val="21"/>
          <w:szCs w:val="21"/>
        </w:rPr>
      </w:pPr>
      <w:r w:rsidRPr="009D276B">
        <w:rPr>
          <w:rFonts w:hint="eastAsia"/>
          <w:sz w:val="21"/>
          <w:szCs w:val="21"/>
        </w:rPr>
        <w:t>网址：www.zsfund.com</w:t>
      </w:r>
    </w:p>
    <w:p w14:paraId="34A840E0" w14:textId="77777777" w:rsidR="009D276B" w:rsidRPr="009D276B" w:rsidRDefault="009D276B" w:rsidP="009D276B">
      <w:pPr>
        <w:pStyle w:val="a4"/>
        <w:spacing w:line="390" w:lineRule="atLeast"/>
        <w:ind w:firstLineChars="200" w:firstLine="420"/>
        <w:rPr>
          <w:sz w:val="21"/>
          <w:szCs w:val="21"/>
        </w:rPr>
      </w:pPr>
      <w:r w:rsidRPr="009D276B">
        <w:rPr>
          <w:rFonts w:hint="eastAsia"/>
          <w:sz w:val="21"/>
          <w:szCs w:val="21"/>
        </w:rPr>
        <w:t>客户服务电话：400-067-9908</w:t>
      </w:r>
    </w:p>
    <w:p w14:paraId="35CD9E41" w14:textId="234CA3B3" w:rsidR="009D276B" w:rsidRPr="009D276B" w:rsidRDefault="009D276B" w:rsidP="009D276B">
      <w:pPr>
        <w:pStyle w:val="a4"/>
        <w:spacing w:line="390" w:lineRule="atLeast"/>
        <w:ind w:firstLineChars="200" w:firstLine="420"/>
        <w:rPr>
          <w:sz w:val="21"/>
          <w:szCs w:val="21"/>
        </w:rPr>
      </w:pPr>
      <w:r w:rsidRPr="009D276B">
        <w:rPr>
          <w:rFonts w:hint="eastAsia"/>
          <w:sz w:val="21"/>
          <w:szCs w:val="21"/>
        </w:rPr>
        <w:t>2、</w:t>
      </w:r>
      <w:r>
        <w:rPr>
          <w:rFonts w:hint="eastAsia"/>
          <w:sz w:val="21"/>
          <w:szCs w:val="21"/>
        </w:rPr>
        <w:t>国泰君安</w:t>
      </w:r>
      <w:r w:rsidRPr="009D276B">
        <w:rPr>
          <w:rFonts w:hint="eastAsia"/>
          <w:sz w:val="21"/>
          <w:szCs w:val="21"/>
        </w:rPr>
        <w:t>证券股份有限公司</w:t>
      </w:r>
    </w:p>
    <w:p w14:paraId="2C3CE507" w14:textId="43859E52" w:rsidR="009D276B" w:rsidRPr="009D276B" w:rsidRDefault="009D276B" w:rsidP="009D276B">
      <w:pPr>
        <w:pStyle w:val="a4"/>
        <w:spacing w:line="390" w:lineRule="atLeast"/>
        <w:ind w:firstLineChars="200" w:firstLine="420"/>
        <w:rPr>
          <w:sz w:val="21"/>
          <w:szCs w:val="21"/>
        </w:rPr>
      </w:pPr>
      <w:r w:rsidRPr="009D276B">
        <w:rPr>
          <w:rFonts w:hint="eastAsia"/>
          <w:sz w:val="21"/>
          <w:szCs w:val="21"/>
        </w:rPr>
        <w:lastRenderedPageBreak/>
        <w:t>网站：</w:t>
      </w:r>
      <w:r w:rsidR="003468FB" w:rsidRPr="003468FB">
        <w:rPr>
          <w:sz w:val="21"/>
          <w:szCs w:val="21"/>
        </w:rPr>
        <w:t>https://www.gtja.com/</w:t>
      </w:r>
      <w:r w:rsidRPr="009D276B">
        <w:rPr>
          <w:rFonts w:hint="eastAsia"/>
          <w:sz w:val="21"/>
          <w:szCs w:val="21"/>
        </w:rPr>
        <w:t xml:space="preserve"> </w:t>
      </w:r>
    </w:p>
    <w:p w14:paraId="35302BF3" w14:textId="29A4011E" w:rsidR="00F27F4C" w:rsidRDefault="009D276B" w:rsidP="009D276B">
      <w:pPr>
        <w:pStyle w:val="a4"/>
        <w:spacing w:line="390" w:lineRule="atLeast"/>
        <w:ind w:firstLineChars="200" w:firstLine="420"/>
        <w:rPr>
          <w:sz w:val="21"/>
          <w:szCs w:val="21"/>
        </w:rPr>
      </w:pPr>
      <w:r w:rsidRPr="009D276B">
        <w:rPr>
          <w:rFonts w:hint="eastAsia"/>
          <w:sz w:val="21"/>
          <w:szCs w:val="21"/>
        </w:rPr>
        <w:t>客户服务电话：</w:t>
      </w:r>
      <w:r w:rsidR="003468FB">
        <w:rPr>
          <w:sz w:val="21"/>
          <w:szCs w:val="21"/>
        </w:rPr>
        <w:t>95521</w:t>
      </w:r>
      <w:r w:rsidR="003468FB">
        <w:rPr>
          <w:rFonts w:hint="eastAsia"/>
          <w:sz w:val="21"/>
          <w:szCs w:val="21"/>
        </w:rPr>
        <w:t>、</w:t>
      </w:r>
      <w:r w:rsidR="003468FB" w:rsidRPr="003468FB">
        <w:rPr>
          <w:sz w:val="21"/>
          <w:szCs w:val="21"/>
        </w:rPr>
        <w:t>400-8888-666</w:t>
      </w:r>
    </w:p>
    <w:p w14:paraId="194C4E0E" w14:textId="77777777" w:rsidR="00551532" w:rsidRPr="00F27F4C" w:rsidRDefault="00551532">
      <w:pPr>
        <w:pStyle w:val="a4"/>
        <w:spacing w:line="390" w:lineRule="atLeast"/>
        <w:ind w:firstLineChars="200" w:firstLine="420"/>
        <w:rPr>
          <w:sz w:val="21"/>
          <w:szCs w:val="21"/>
        </w:rPr>
      </w:pPr>
    </w:p>
    <w:p w14:paraId="5EF5E31D" w14:textId="1FC5AB9D" w:rsidR="00F27F4C" w:rsidRPr="00C46F3C" w:rsidRDefault="00F27F4C">
      <w:pPr>
        <w:pStyle w:val="a4"/>
        <w:spacing w:line="390" w:lineRule="atLeast"/>
        <w:ind w:firstLineChars="200" w:firstLine="420"/>
        <w:rPr>
          <w:sz w:val="21"/>
          <w:szCs w:val="21"/>
        </w:rPr>
      </w:pPr>
      <w:r w:rsidRPr="00F27F4C">
        <w:rPr>
          <w:rFonts w:hint="eastAsia"/>
          <w:sz w:val="21"/>
          <w:szCs w:val="21"/>
        </w:rPr>
        <w:t xml:space="preserve">    特此公告。</w:t>
      </w:r>
    </w:p>
    <w:p w14:paraId="43129669" w14:textId="77777777" w:rsidR="006D1049" w:rsidRDefault="006D1049" w:rsidP="004B4AC5">
      <w:pPr>
        <w:adjustRightInd w:val="0"/>
        <w:snapToGrid w:val="0"/>
        <w:spacing w:line="360" w:lineRule="auto"/>
        <w:jc w:val="right"/>
        <w:rPr>
          <w:rFonts w:ascii="宋体" w:hAnsi="宋体"/>
          <w:szCs w:val="21"/>
        </w:rPr>
      </w:pPr>
    </w:p>
    <w:p w14:paraId="1792697D" w14:textId="79A827FA" w:rsidR="004B4AC5" w:rsidRDefault="004B4AC5" w:rsidP="004B4AC5">
      <w:pPr>
        <w:adjustRightInd w:val="0"/>
        <w:snapToGrid w:val="0"/>
        <w:spacing w:line="360" w:lineRule="auto"/>
        <w:jc w:val="right"/>
        <w:rPr>
          <w:rFonts w:ascii="宋体" w:hAnsi="宋体"/>
          <w:szCs w:val="21"/>
        </w:rPr>
      </w:pPr>
      <w:r>
        <w:rPr>
          <w:rFonts w:ascii="宋体" w:hAnsi="宋体" w:hint="eastAsia"/>
          <w:szCs w:val="21"/>
        </w:rPr>
        <w:t>浙商基金管理有限公司</w:t>
      </w:r>
    </w:p>
    <w:p w14:paraId="1B5E8176" w14:textId="4C3E0F4E" w:rsidR="00D349EE" w:rsidRDefault="00184790" w:rsidP="00E845C1">
      <w:pPr>
        <w:adjustRightInd w:val="0"/>
        <w:snapToGrid w:val="0"/>
        <w:spacing w:line="360" w:lineRule="auto"/>
        <w:jc w:val="right"/>
      </w:pPr>
      <w:r>
        <w:rPr>
          <w:rFonts w:ascii="宋体" w:hAnsi="宋体" w:hint="eastAsia"/>
          <w:szCs w:val="21"/>
        </w:rPr>
        <w:t>2021年</w:t>
      </w:r>
      <w:r>
        <w:rPr>
          <w:rFonts w:ascii="宋体" w:hAnsi="宋体"/>
          <w:szCs w:val="21"/>
        </w:rPr>
        <w:t>12</w:t>
      </w:r>
      <w:r w:rsidR="004B4AC5">
        <w:rPr>
          <w:rFonts w:ascii="宋体" w:hAnsi="宋体" w:hint="eastAsia"/>
          <w:szCs w:val="21"/>
        </w:rPr>
        <w:t>月</w:t>
      </w:r>
      <w:r>
        <w:rPr>
          <w:rFonts w:ascii="宋体" w:hAnsi="宋体"/>
          <w:szCs w:val="21"/>
        </w:rPr>
        <w:t>31</w:t>
      </w:r>
      <w:r w:rsidR="004B4AC5">
        <w:rPr>
          <w:rFonts w:ascii="宋体" w:hAnsi="宋体" w:hint="eastAsia"/>
          <w:szCs w:val="21"/>
        </w:rPr>
        <w:t>日</w:t>
      </w:r>
      <w:bookmarkEnd w:id="1"/>
    </w:p>
    <w:sectPr w:rsidR="00D349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D6950" w14:textId="77777777" w:rsidR="00653EC2" w:rsidRDefault="00653EC2" w:rsidP="00305AB8">
      <w:r>
        <w:separator/>
      </w:r>
    </w:p>
  </w:endnote>
  <w:endnote w:type="continuationSeparator" w:id="0">
    <w:p w14:paraId="4318CB14" w14:textId="77777777" w:rsidR="00653EC2" w:rsidRDefault="00653EC2" w:rsidP="0030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03D56" w14:textId="77777777" w:rsidR="00653EC2" w:rsidRDefault="00653EC2" w:rsidP="00305AB8">
      <w:r>
        <w:separator/>
      </w:r>
    </w:p>
  </w:footnote>
  <w:footnote w:type="continuationSeparator" w:id="0">
    <w:p w14:paraId="5AE800A5" w14:textId="77777777" w:rsidR="00653EC2" w:rsidRDefault="00653EC2" w:rsidP="00305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DED"/>
    <w:rsid w:val="00011C52"/>
    <w:rsid w:val="000214E7"/>
    <w:rsid w:val="00022FCE"/>
    <w:rsid w:val="00024E0B"/>
    <w:rsid w:val="00025672"/>
    <w:rsid w:val="00026E26"/>
    <w:rsid w:val="000412C3"/>
    <w:rsid w:val="00052815"/>
    <w:rsid w:val="000568F1"/>
    <w:rsid w:val="00065572"/>
    <w:rsid w:val="00070296"/>
    <w:rsid w:val="00070993"/>
    <w:rsid w:val="00096C16"/>
    <w:rsid w:val="000A0916"/>
    <w:rsid w:val="000B3145"/>
    <w:rsid w:val="000B536B"/>
    <w:rsid w:val="000B5528"/>
    <w:rsid w:val="000D56CD"/>
    <w:rsid w:val="000E2125"/>
    <w:rsid w:val="000E560F"/>
    <w:rsid w:val="000E6553"/>
    <w:rsid w:val="000F43F5"/>
    <w:rsid w:val="001113B9"/>
    <w:rsid w:val="00113BCD"/>
    <w:rsid w:val="00125D33"/>
    <w:rsid w:val="00137E34"/>
    <w:rsid w:val="0015559D"/>
    <w:rsid w:val="00161AC2"/>
    <w:rsid w:val="00161CC4"/>
    <w:rsid w:val="00161CFF"/>
    <w:rsid w:val="00166539"/>
    <w:rsid w:val="00184790"/>
    <w:rsid w:val="001B0B08"/>
    <w:rsid w:val="001B1D93"/>
    <w:rsid w:val="001B2997"/>
    <w:rsid w:val="001B3602"/>
    <w:rsid w:val="001B47AD"/>
    <w:rsid w:val="001C011B"/>
    <w:rsid w:val="001C0D1E"/>
    <w:rsid w:val="001C4578"/>
    <w:rsid w:val="001D76D0"/>
    <w:rsid w:val="001D7B86"/>
    <w:rsid w:val="001E11BB"/>
    <w:rsid w:val="001E2A9A"/>
    <w:rsid w:val="001E3E18"/>
    <w:rsid w:val="001F0217"/>
    <w:rsid w:val="001F17E7"/>
    <w:rsid w:val="001F677C"/>
    <w:rsid w:val="00202843"/>
    <w:rsid w:val="002105D9"/>
    <w:rsid w:val="0021194D"/>
    <w:rsid w:val="002243E5"/>
    <w:rsid w:val="002356F8"/>
    <w:rsid w:val="002526F3"/>
    <w:rsid w:val="002549E6"/>
    <w:rsid w:val="00262B76"/>
    <w:rsid w:val="002855D0"/>
    <w:rsid w:val="00290EDC"/>
    <w:rsid w:val="002A1319"/>
    <w:rsid w:val="002A4754"/>
    <w:rsid w:val="002A5362"/>
    <w:rsid w:val="002C5218"/>
    <w:rsid w:val="002C5D5E"/>
    <w:rsid w:val="002C603D"/>
    <w:rsid w:val="002C6DE6"/>
    <w:rsid w:val="002C6F8B"/>
    <w:rsid w:val="002D24A3"/>
    <w:rsid w:val="002D35CF"/>
    <w:rsid w:val="002D4F30"/>
    <w:rsid w:val="002F29C8"/>
    <w:rsid w:val="002F46F2"/>
    <w:rsid w:val="00305AB8"/>
    <w:rsid w:val="00320936"/>
    <w:rsid w:val="00334A6B"/>
    <w:rsid w:val="00345A60"/>
    <w:rsid w:val="003468FB"/>
    <w:rsid w:val="00346FC0"/>
    <w:rsid w:val="003542C6"/>
    <w:rsid w:val="003544C0"/>
    <w:rsid w:val="00373677"/>
    <w:rsid w:val="00375221"/>
    <w:rsid w:val="00375FA5"/>
    <w:rsid w:val="003769D3"/>
    <w:rsid w:val="00376A6C"/>
    <w:rsid w:val="00393F7A"/>
    <w:rsid w:val="003A029D"/>
    <w:rsid w:val="003A5089"/>
    <w:rsid w:val="003F7308"/>
    <w:rsid w:val="00401D63"/>
    <w:rsid w:val="004103E6"/>
    <w:rsid w:val="00416EC7"/>
    <w:rsid w:val="00424D21"/>
    <w:rsid w:val="00432644"/>
    <w:rsid w:val="0044033E"/>
    <w:rsid w:val="004529F1"/>
    <w:rsid w:val="0045797D"/>
    <w:rsid w:val="00457BB6"/>
    <w:rsid w:val="00457ED4"/>
    <w:rsid w:val="0046395B"/>
    <w:rsid w:val="00466B80"/>
    <w:rsid w:val="004738AA"/>
    <w:rsid w:val="00473F58"/>
    <w:rsid w:val="00476BA5"/>
    <w:rsid w:val="00482886"/>
    <w:rsid w:val="0049094D"/>
    <w:rsid w:val="00491E88"/>
    <w:rsid w:val="004A273F"/>
    <w:rsid w:val="004A713A"/>
    <w:rsid w:val="004B0628"/>
    <w:rsid w:val="004B4AC5"/>
    <w:rsid w:val="004C10B4"/>
    <w:rsid w:val="004C7B71"/>
    <w:rsid w:val="004D0BFF"/>
    <w:rsid w:val="004D40DE"/>
    <w:rsid w:val="004E5283"/>
    <w:rsid w:val="004E7659"/>
    <w:rsid w:val="004F3DA3"/>
    <w:rsid w:val="00500014"/>
    <w:rsid w:val="00503F43"/>
    <w:rsid w:val="00507D8C"/>
    <w:rsid w:val="00514419"/>
    <w:rsid w:val="005252D4"/>
    <w:rsid w:val="00525AE3"/>
    <w:rsid w:val="00526CFE"/>
    <w:rsid w:val="005326C7"/>
    <w:rsid w:val="005351B0"/>
    <w:rsid w:val="00542357"/>
    <w:rsid w:val="0054612F"/>
    <w:rsid w:val="00551532"/>
    <w:rsid w:val="00556CB0"/>
    <w:rsid w:val="005669BA"/>
    <w:rsid w:val="005674EE"/>
    <w:rsid w:val="00570411"/>
    <w:rsid w:val="005845FE"/>
    <w:rsid w:val="00585C71"/>
    <w:rsid w:val="005942B1"/>
    <w:rsid w:val="005967BD"/>
    <w:rsid w:val="005A3A82"/>
    <w:rsid w:val="005B361E"/>
    <w:rsid w:val="005B36DA"/>
    <w:rsid w:val="005B449E"/>
    <w:rsid w:val="005B6528"/>
    <w:rsid w:val="005E086E"/>
    <w:rsid w:val="005E09D1"/>
    <w:rsid w:val="005E2059"/>
    <w:rsid w:val="005F225C"/>
    <w:rsid w:val="00606EB9"/>
    <w:rsid w:val="00615C6D"/>
    <w:rsid w:val="00620D8E"/>
    <w:rsid w:val="00625E8D"/>
    <w:rsid w:val="00653EC2"/>
    <w:rsid w:val="00663285"/>
    <w:rsid w:val="006639FD"/>
    <w:rsid w:val="00676DD2"/>
    <w:rsid w:val="006859A9"/>
    <w:rsid w:val="006907A7"/>
    <w:rsid w:val="006931DA"/>
    <w:rsid w:val="006B1BB7"/>
    <w:rsid w:val="006B292F"/>
    <w:rsid w:val="006B2975"/>
    <w:rsid w:val="006B36F0"/>
    <w:rsid w:val="006B5AA6"/>
    <w:rsid w:val="006C35BF"/>
    <w:rsid w:val="006D1049"/>
    <w:rsid w:val="006D2B61"/>
    <w:rsid w:val="006E3657"/>
    <w:rsid w:val="006F164A"/>
    <w:rsid w:val="006F2B7D"/>
    <w:rsid w:val="00705CB2"/>
    <w:rsid w:val="00706117"/>
    <w:rsid w:val="00723588"/>
    <w:rsid w:val="007339AE"/>
    <w:rsid w:val="0074128B"/>
    <w:rsid w:val="00742128"/>
    <w:rsid w:val="00745552"/>
    <w:rsid w:val="007459D2"/>
    <w:rsid w:val="00746A52"/>
    <w:rsid w:val="0077492E"/>
    <w:rsid w:val="007835FC"/>
    <w:rsid w:val="00796D02"/>
    <w:rsid w:val="007A2AEC"/>
    <w:rsid w:val="007A2FC2"/>
    <w:rsid w:val="007A33FD"/>
    <w:rsid w:val="007B08FF"/>
    <w:rsid w:val="007B0C70"/>
    <w:rsid w:val="007B3B68"/>
    <w:rsid w:val="007C26AE"/>
    <w:rsid w:val="007C5196"/>
    <w:rsid w:val="007C7578"/>
    <w:rsid w:val="007D5FFB"/>
    <w:rsid w:val="007E7232"/>
    <w:rsid w:val="007F2192"/>
    <w:rsid w:val="007F7B4A"/>
    <w:rsid w:val="008017C5"/>
    <w:rsid w:val="00812305"/>
    <w:rsid w:val="00814048"/>
    <w:rsid w:val="008228D1"/>
    <w:rsid w:val="00822A6A"/>
    <w:rsid w:val="0082365C"/>
    <w:rsid w:val="00834DB9"/>
    <w:rsid w:val="00843AC5"/>
    <w:rsid w:val="00844783"/>
    <w:rsid w:val="00845523"/>
    <w:rsid w:val="00850CF5"/>
    <w:rsid w:val="0086105E"/>
    <w:rsid w:val="008645C3"/>
    <w:rsid w:val="008650E7"/>
    <w:rsid w:val="0086722B"/>
    <w:rsid w:val="008706CB"/>
    <w:rsid w:val="008718EA"/>
    <w:rsid w:val="008812B7"/>
    <w:rsid w:val="0088401E"/>
    <w:rsid w:val="00891BBD"/>
    <w:rsid w:val="008A76CA"/>
    <w:rsid w:val="008B1A6E"/>
    <w:rsid w:val="008D36DF"/>
    <w:rsid w:val="008D75CC"/>
    <w:rsid w:val="008E113E"/>
    <w:rsid w:val="008E7392"/>
    <w:rsid w:val="008F0273"/>
    <w:rsid w:val="00905FC1"/>
    <w:rsid w:val="009125C6"/>
    <w:rsid w:val="00923887"/>
    <w:rsid w:val="00927790"/>
    <w:rsid w:val="00930E0B"/>
    <w:rsid w:val="0093255A"/>
    <w:rsid w:val="00936782"/>
    <w:rsid w:val="00936E11"/>
    <w:rsid w:val="00947A7B"/>
    <w:rsid w:val="00973D11"/>
    <w:rsid w:val="009768A3"/>
    <w:rsid w:val="00981C59"/>
    <w:rsid w:val="009853DC"/>
    <w:rsid w:val="00990B67"/>
    <w:rsid w:val="00997B8E"/>
    <w:rsid w:val="00997DED"/>
    <w:rsid w:val="009B1552"/>
    <w:rsid w:val="009B17BA"/>
    <w:rsid w:val="009B2B27"/>
    <w:rsid w:val="009B6AB4"/>
    <w:rsid w:val="009C0C44"/>
    <w:rsid w:val="009C3C2D"/>
    <w:rsid w:val="009D23E0"/>
    <w:rsid w:val="009D276B"/>
    <w:rsid w:val="009D5ACE"/>
    <w:rsid w:val="009E5C1D"/>
    <w:rsid w:val="00A12ED5"/>
    <w:rsid w:val="00A15B38"/>
    <w:rsid w:val="00A21D3D"/>
    <w:rsid w:val="00A32F09"/>
    <w:rsid w:val="00A40DBD"/>
    <w:rsid w:val="00A500F2"/>
    <w:rsid w:val="00A54BEE"/>
    <w:rsid w:val="00A6073D"/>
    <w:rsid w:val="00A74F15"/>
    <w:rsid w:val="00A80A10"/>
    <w:rsid w:val="00A861BD"/>
    <w:rsid w:val="00A91C3F"/>
    <w:rsid w:val="00A94222"/>
    <w:rsid w:val="00AC1D85"/>
    <w:rsid w:val="00AD4022"/>
    <w:rsid w:val="00AD68AA"/>
    <w:rsid w:val="00AE7869"/>
    <w:rsid w:val="00AE7F87"/>
    <w:rsid w:val="00AF1AC4"/>
    <w:rsid w:val="00AF37BB"/>
    <w:rsid w:val="00B03A0A"/>
    <w:rsid w:val="00B125CB"/>
    <w:rsid w:val="00B24CD1"/>
    <w:rsid w:val="00B35220"/>
    <w:rsid w:val="00B50601"/>
    <w:rsid w:val="00B57EEE"/>
    <w:rsid w:val="00B60862"/>
    <w:rsid w:val="00B64616"/>
    <w:rsid w:val="00B744B0"/>
    <w:rsid w:val="00B765F2"/>
    <w:rsid w:val="00B91A3A"/>
    <w:rsid w:val="00B956F8"/>
    <w:rsid w:val="00BD36B2"/>
    <w:rsid w:val="00BD414A"/>
    <w:rsid w:val="00BD73E5"/>
    <w:rsid w:val="00C014A5"/>
    <w:rsid w:val="00C07346"/>
    <w:rsid w:val="00C112BF"/>
    <w:rsid w:val="00C127C7"/>
    <w:rsid w:val="00C15351"/>
    <w:rsid w:val="00C16543"/>
    <w:rsid w:val="00C17358"/>
    <w:rsid w:val="00C46F3C"/>
    <w:rsid w:val="00C46FE1"/>
    <w:rsid w:val="00C5214F"/>
    <w:rsid w:val="00C5606C"/>
    <w:rsid w:val="00C56376"/>
    <w:rsid w:val="00C612CD"/>
    <w:rsid w:val="00C62E0F"/>
    <w:rsid w:val="00C723AB"/>
    <w:rsid w:val="00C81D4E"/>
    <w:rsid w:val="00C82673"/>
    <w:rsid w:val="00C8285E"/>
    <w:rsid w:val="00CA6103"/>
    <w:rsid w:val="00CB00F2"/>
    <w:rsid w:val="00CB731A"/>
    <w:rsid w:val="00CC1985"/>
    <w:rsid w:val="00CC4B9E"/>
    <w:rsid w:val="00CE7986"/>
    <w:rsid w:val="00CF0E7A"/>
    <w:rsid w:val="00CF4AAD"/>
    <w:rsid w:val="00D16F57"/>
    <w:rsid w:val="00D20C57"/>
    <w:rsid w:val="00D2118E"/>
    <w:rsid w:val="00D218EC"/>
    <w:rsid w:val="00D2367B"/>
    <w:rsid w:val="00D30FF6"/>
    <w:rsid w:val="00D325D1"/>
    <w:rsid w:val="00D349EE"/>
    <w:rsid w:val="00D35898"/>
    <w:rsid w:val="00D4440B"/>
    <w:rsid w:val="00D45886"/>
    <w:rsid w:val="00D51788"/>
    <w:rsid w:val="00D527CB"/>
    <w:rsid w:val="00D54347"/>
    <w:rsid w:val="00D644EB"/>
    <w:rsid w:val="00D7031B"/>
    <w:rsid w:val="00D712BE"/>
    <w:rsid w:val="00D759BF"/>
    <w:rsid w:val="00D86456"/>
    <w:rsid w:val="00D94E02"/>
    <w:rsid w:val="00D95A16"/>
    <w:rsid w:val="00D95C1B"/>
    <w:rsid w:val="00D975C3"/>
    <w:rsid w:val="00DA50B8"/>
    <w:rsid w:val="00DE1B3C"/>
    <w:rsid w:val="00DE1E47"/>
    <w:rsid w:val="00DF5BBE"/>
    <w:rsid w:val="00E13D06"/>
    <w:rsid w:val="00E140D2"/>
    <w:rsid w:val="00E16BBC"/>
    <w:rsid w:val="00E20A09"/>
    <w:rsid w:val="00E20E66"/>
    <w:rsid w:val="00E26871"/>
    <w:rsid w:val="00E556CF"/>
    <w:rsid w:val="00E605B2"/>
    <w:rsid w:val="00E65789"/>
    <w:rsid w:val="00E66954"/>
    <w:rsid w:val="00E845C1"/>
    <w:rsid w:val="00E9185A"/>
    <w:rsid w:val="00E954A4"/>
    <w:rsid w:val="00EB193C"/>
    <w:rsid w:val="00EB6341"/>
    <w:rsid w:val="00ED350A"/>
    <w:rsid w:val="00ED7D40"/>
    <w:rsid w:val="00EF3BA2"/>
    <w:rsid w:val="00F27F4C"/>
    <w:rsid w:val="00F31FE9"/>
    <w:rsid w:val="00F40D72"/>
    <w:rsid w:val="00F5585B"/>
    <w:rsid w:val="00F57545"/>
    <w:rsid w:val="00F67727"/>
    <w:rsid w:val="00F7022C"/>
    <w:rsid w:val="00F718A4"/>
    <w:rsid w:val="00F72621"/>
    <w:rsid w:val="00F7379F"/>
    <w:rsid w:val="00F759C1"/>
    <w:rsid w:val="00F83AC8"/>
    <w:rsid w:val="00F93C78"/>
    <w:rsid w:val="00FA6A98"/>
    <w:rsid w:val="00FC51AF"/>
    <w:rsid w:val="00FD556B"/>
    <w:rsid w:val="00FD6121"/>
    <w:rsid w:val="00FE703B"/>
    <w:rsid w:val="00FF2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EEE66"/>
  <w15:docId w15:val="{ACE7F7BD-FB34-40AF-9287-575E8EE7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B4AC5"/>
    <w:pPr>
      <w:widowControl w:val="0"/>
      <w:jc w:val="both"/>
    </w:pPr>
    <w:rPr>
      <w:rFonts w:ascii="Times New Roman" w:eastAsia="宋体" w:hAnsi="Times New Roman" w:cs="Times New Roman"/>
      <w:szCs w:val="24"/>
    </w:rPr>
  </w:style>
  <w:style w:type="paragraph" w:styleId="2">
    <w:name w:val="heading 2"/>
    <w:basedOn w:val="a"/>
    <w:link w:val="20"/>
    <w:uiPriority w:val="9"/>
    <w:qFormat/>
    <w:rsid w:val="006859A9"/>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B4AC5"/>
    <w:rPr>
      <w:rFonts w:ascii="ˎ̥" w:hAnsi="ˎ̥" w:hint="default"/>
      <w:strike w:val="0"/>
      <w:dstrike w:val="0"/>
      <w:color w:val="991117"/>
      <w:sz w:val="18"/>
      <w:szCs w:val="18"/>
      <w:u w:val="none"/>
      <w:effect w:val="none"/>
    </w:rPr>
  </w:style>
  <w:style w:type="paragraph" w:styleId="a4">
    <w:name w:val="Normal (Web)"/>
    <w:basedOn w:val="a"/>
    <w:uiPriority w:val="99"/>
    <w:unhideWhenUsed/>
    <w:rsid w:val="004B4AC5"/>
    <w:pPr>
      <w:widowControl/>
      <w:ind w:firstLine="480"/>
      <w:jc w:val="left"/>
    </w:pPr>
    <w:rPr>
      <w:rFonts w:ascii="宋体" w:hAnsi="宋体" w:cs="宋体"/>
      <w:kern w:val="0"/>
      <w:sz w:val="24"/>
    </w:rPr>
  </w:style>
  <w:style w:type="paragraph" w:styleId="a5">
    <w:name w:val="List Paragraph"/>
    <w:basedOn w:val="a"/>
    <w:uiPriority w:val="34"/>
    <w:qFormat/>
    <w:rsid w:val="004B4AC5"/>
    <w:pPr>
      <w:ind w:firstLineChars="200" w:firstLine="420"/>
    </w:pPr>
    <w:rPr>
      <w:rFonts w:ascii="Calibri" w:hAnsi="Calibri"/>
      <w:szCs w:val="22"/>
    </w:rPr>
  </w:style>
  <w:style w:type="paragraph" w:styleId="a6">
    <w:name w:val="header"/>
    <w:basedOn w:val="a"/>
    <w:link w:val="a7"/>
    <w:uiPriority w:val="99"/>
    <w:unhideWhenUsed/>
    <w:rsid w:val="00305AB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05AB8"/>
    <w:rPr>
      <w:rFonts w:ascii="Times New Roman" w:eastAsia="宋体" w:hAnsi="Times New Roman" w:cs="Times New Roman"/>
      <w:sz w:val="18"/>
      <w:szCs w:val="18"/>
    </w:rPr>
  </w:style>
  <w:style w:type="paragraph" w:styleId="a8">
    <w:name w:val="footer"/>
    <w:basedOn w:val="a"/>
    <w:link w:val="a9"/>
    <w:uiPriority w:val="99"/>
    <w:unhideWhenUsed/>
    <w:rsid w:val="00305AB8"/>
    <w:pPr>
      <w:tabs>
        <w:tab w:val="center" w:pos="4153"/>
        <w:tab w:val="right" w:pos="8306"/>
      </w:tabs>
      <w:snapToGrid w:val="0"/>
      <w:jc w:val="left"/>
    </w:pPr>
    <w:rPr>
      <w:sz w:val="18"/>
      <w:szCs w:val="18"/>
    </w:rPr>
  </w:style>
  <w:style w:type="character" w:customStyle="1" w:styleId="a9">
    <w:name w:val="页脚 字符"/>
    <w:basedOn w:val="a0"/>
    <w:link w:val="a8"/>
    <w:uiPriority w:val="99"/>
    <w:rsid w:val="00305AB8"/>
    <w:rPr>
      <w:rFonts w:ascii="Times New Roman" w:eastAsia="宋体" w:hAnsi="Times New Roman" w:cs="Times New Roman"/>
      <w:sz w:val="18"/>
      <w:szCs w:val="18"/>
    </w:rPr>
  </w:style>
  <w:style w:type="paragraph" w:styleId="aa">
    <w:name w:val="Balloon Text"/>
    <w:basedOn w:val="a"/>
    <w:link w:val="ab"/>
    <w:uiPriority w:val="99"/>
    <w:semiHidden/>
    <w:unhideWhenUsed/>
    <w:rsid w:val="00812305"/>
    <w:rPr>
      <w:sz w:val="18"/>
      <w:szCs w:val="18"/>
    </w:rPr>
  </w:style>
  <w:style w:type="character" w:customStyle="1" w:styleId="ab">
    <w:name w:val="批注框文本 字符"/>
    <w:basedOn w:val="a0"/>
    <w:link w:val="aa"/>
    <w:uiPriority w:val="99"/>
    <w:semiHidden/>
    <w:rsid w:val="00812305"/>
    <w:rPr>
      <w:rFonts w:ascii="Times New Roman" w:eastAsia="宋体" w:hAnsi="Times New Roman" w:cs="Times New Roman"/>
      <w:sz w:val="18"/>
      <w:szCs w:val="18"/>
    </w:rPr>
  </w:style>
  <w:style w:type="paragraph" w:styleId="ac">
    <w:name w:val="Revision"/>
    <w:hidden/>
    <w:uiPriority w:val="99"/>
    <w:semiHidden/>
    <w:rsid w:val="00FD556B"/>
    <w:rPr>
      <w:rFonts w:ascii="Times New Roman" w:eastAsia="宋体" w:hAnsi="Times New Roman" w:cs="Times New Roman"/>
      <w:szCs w:val="24"/>
    </w:rPr>
  </w:style>
  <w:style w:type="character" w:customStyle="1" w:styleId="fn-color-61">
    <w:name w:val="fn-color-61"/>
    <w:basedOn w:val="a0"/>
    <w:rsid w:val="00A6073D"/>
    <w:rPr>
      <w:color w:val="666666"/>
    </w:rPr>
  </w:style>
  <w:style w:type="character" w:customStyle="1" w:styleId="20">
    <w:name w:val="标题 2 字符"/>
    <w:basedOn w:val="a0"/>
    <w:link w:val="2"/>
    <w:uiPriority w:val="9"/>
    <w:rsid w:val="006859A9"/>
    <w:rPr>
      <w:rFonts w:ascii="宋体" w:eastAsia="宋体" w:hAnsi="宋体" w:cs="宋体"/>
      <w:b/>
      <w:bCs/>
      <w:kern w:val="0"/>
      <w:sz w:val="36"/>
      <w:szCs w:val="36"/>
    </w:rPr>
  </w:style>
  <w:style w:type="character" w:customStyle="1" w:styleId="fn-color-6">
    <w:name w:val="fn-color-6"/>
    <w:basedOn w:val="a0"/>
    <w:rsid w:val="006859A9"/>
  </w:style>
  <w:style w:type="character" w:customStyle="1" w:styleId="1">
    <w:name w:val="未处理的提及1"/>
    <w:basedOn w:val="a0"/>
    <w:uiPriority w:val="99"/>
    <w:semiHidden/>
    <w:unhideWhenUsed/>
    <w:rsid w:val="00AF1AC4"/>
    <w:rPr>
      <w:color w:val="605E5C"/>
      <w:shd w:val="clear" w:color="auto" w:fill="E1DFDD"/>
    </w:rPr>
  </w:style>
  <w:style w:type="character" w:styleId="ad">
    <w:name w:val="annotation reference"/>
    <w:basedOn w:val="a0"/>
    <w:uiPriority w:val="99"/>
    <w:semiHidden/>
    <w:unhideWhenUsed/>
    <w:rsid w:val="00844783"/>
    <w:rPr>
      <w:sz w:val="21"/>
      <w:szCs w:val="21"/>
    </w:rPr>
  </w:style>
  <w:style w:type="paragraph" w:styleId="ae">
    <w:name w:val="annotation text"/>
    <w:basedOn w:val="a"/>
    <w:link w:val="af"/>
    <w:uiPriority w:val="99"/>
    <w:semiHidden/>
    <w:unhideWhenUsed/>
    <w:rsid w:val="00844783"/>
    <w:pPr>
      <w:jc w:val="left"/>
    </w:pPr>
  </w:style>
  <w:style w:type="character" w:customStyle="1" w:styleId="af">
    <w:name w:val="批注文字 字符"/>
    <w:basedOn w:val="a0"/>
    <w:link w:val="ae"/>
    <w:uiPriority w:val="99"/>
    <w:semiHidden/>
    <w:rsid w:val="00844783"/>
    <w:rPr>
      <w:rFonts w:ascii="Times New Roman" w:eastAsia="宋体" w:hAnsi="Times New Roman" w:cs="Times New Roman"/>
      <w:szCs w:val="24"/>
    </w:rPr>
  </w:style>
  <w:style w:type="paragraph" w:styleId="af0">
    <w:name w:val="annotation subject"/>
    <w:basedOn w:val="ae"/>
    <w:next w:val="ae"/>
    <w:link w:val="af1"/>
    <w:uiPriority w:val="99"/>
    <w:semiHidden/>
    <w:unhideWhenUsed/>
    <w:rsid w:val="00844783"/>
    <w:rPr>
      <w:b/>
      <w:bCs/>
    </w:rPr>
  </w:style>
  <w:style w:type="character" w:customStyle="1" w:styleId="af1">
    <w:name w:val="批注主题 字符"/>
    <w:basedOn w:val="af"/>
    <w:link w:val="af0"/>
    <w:uiPriority w:val="99"/>
    <w:semiHidden/>
    <w:rsid w:val="00844783"/>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89879">
      <w:bodyDiv w:val="1"/>
      <w:marLeft w:val="0"/>
      <w:marRight w:val="0"/>
      <w:marTop w:val="0"/>
      <w:marBottom w:val="0"/>
      <w:divBdr>
        <w:top w:val="none" w:sz="0" w:space="0" w:color="auto"/>
        <w:left w:val="none" w:sz="0" w:space="0" w:color="auto"/>
        <w:bottom w:val="none" w:sz="0" w:space="0" w:color="auto"/>
        <w:right w:val="none" w:sz="0" w:space="0" w:color="auto"/>
      </w:divBdr>
    </w:div>
    <w:div w:id="521437037">
      <w:bodyDiv w:val="1"/>
      <w:marLeft w:val="0"/>
      <w:marRight w:val="0"/>
      <w:marTop w:val="0"/>
      <w:marBottom w:val="0"/>
      <w:divBdr>
        <w:top w:val="none" w:sz="0" w:space="0" w:color="auto"/>
        <w:left w:val="none" w:sz="0" w:space="0" w:color="auto"/>
        <w:bottom w:val="none" w:sz="0" w:space="0" w:color="auto"/>
        <w:right w:val="none" w:sz="0" w:space="0" w:color="auto"/>
      </w:divBdr>
    </w:div>
    <w:div w:id="529492255">
      <w:bodyDiv w:val="1"/>
      <w:marLeft w:val="0"/>
      <w:marRight w:val="0"/>
      <w:marTop w:val="0"/>
      <w:marBottom w:val="0"/>
      <w:divBdr>
        <w:top w:val="none" w:sz="0" w:space="0" w:color="auto"/>
        <w:left w:val="none" w:sz="0" w:space="0" w:color="auto"/>
        <w:bottom w:val="none" w:sz="0" w:space="0" w:color="auto"/>
        <w:right w:val="none" w:sz="0" w:space="0" w:color="auto"/>
      </w:divBdr>
    </w:div>
    <w:div w:id="581724342">
      <w:bodyDiv w:val="1"/>
      <w:marLeft w:val="0"/>
      <w:marRight w:val="0"/>
      <w:marTop w:val="0"/>
      <w:marBottom w:val="0"/>
      <w:divBdr>
        <w:top w:val="none" w:sz="0" w:space="0" w:color="auto"/>
        <w:left w:val="none" w:sz="0" w:space="0" w:color="auto"/>
        <w:bottom w:val="none" w:sz="0" w:space="0" w:color="auto"/>
        <w:right w:val="none" w:sz="0" w:space="0" w:color="auto"/>
      </w:divBdr>
    </w:div>
    <w:div w:id="662701703">
      <w:bodyDiv w:val="1"/>
      <w:marLeft w:val="0"/>
      <w:marRight w:val="0"/>
      <w:marTop w:val="0"/>
      <w:marBottom w:val="0"/>
      <w:divBdr>
        <w:top w:val="none" w:sz="0" w:space="0" w:color="auto"/>
        <w:left w:val="none" w:sz="0" w:space="0" w:color="auto"/>
        <w:bottom w:val="none" w:sz="0" w:space="0" w:color="auto"/>
        <w:right w:val="none" w:sz="0" w:space="0" w:color="auto"/>
      </w:divBdr>
    </w:div>
    <w:div w:id="807212095">
      <w:bodyDiv w:val="1"/>
      <w:marLeft w:val="0"/>
      <w:marRight w:val="0"/>
      <w:marTop w:val="0"/>
      <w:marBottom w:val="0"/>
      <w:divBdr>
        <w:top w:val="none" w:sz="0" w:space="0" w:color="auto"/>
        <w:left w:val="none" w:sz="0" w:space="0" w:color="auto"/>
        <w:bottom w:val="none" w:sz="0" w:space="0" w:color="auto"/>
        <w:right w:val="none" w:sz="0" w:space="0" w:color="auto"/>
      </w:divBdr>
    </w:div>
    <w:div w:id="860053322">
      <w:bodyDiv w:val="1"/>
      <w:marLeft w:val="0"/>
      <w:marRight w:val="0"/>
      <w:marTop w:val="0"/>
      <w:marBottom w:val="0"/>
      <w:divBdr>
        <w:top w:val="none" w:sz="0" w:space="0" w:color="auto"/>
        <w:left w:val="none" w:sz="0" w:space="0" w:color="auto"/>
        <w:bottom w:val="none" w:sz="0" w:space="0" w:color="auto"/>
        <w:right w:val="none" w:sz="0" w:space="0" w:color="auto"/>
      </w:divBdr>
    </w:div>
    <w:div w:id="969556249">
      <w:bodyDiv w:val="1"/>
      <w:marLeft w:val="0"/>
      <w:marRight w:val="0"/>
      <w:marTop w:val="0"/>
      <w:marBottom w:val="0"/>
      <w:divBdr>
        <w:top w:val="none" w:sz="0" w:space="0" w:color="auto"/>
        <w:left w:val="none" w:sz="0" w:space="0" w:color="auto"/>
        <w:bottom w:val="none" w:sz="0" w:space="0" w:color="auto"/>
        <w:right w:val="none" w:sz="0" w:space="0" w:color="auto"/>
      </w:divBdr>
    </w:div>
    <w:div w:id="972176519">
      <w:bodyDiv w:val="1"/>
      <w:marLeft w:val="0"/>
      <w:marRight w:val="0"/>
      <w:marTop w:val="0"/>
      <w:marBottom w:val="0"/>
      <w:divBdr>
        <w:top w:val="none" w:sz="0" w:space="0" w:color="auto"/>
        <w:left w:val="none" w:sz="0" w:space="0" w:color="auto"/>
        <w:bottom w:val="none" w:sz="0" w:space="0" w:color="auto"/>
        <w:right w:val="none" w:sz="0" w:space="0" w:color="auto"/>
      </w:divBdr>
    </w:div>
    <w:div w:id="1022168780">
      <w:bodyDiv w:val="1"/>
      <w:marLeft w:val="0"/>
      <w:marRight w:val="0"/>
      <w:marTop w:val="0"/>
      <w:marBottom w:val="0"/>
      <w:divBdr>
        <w:top w:val="none" w:sz="0" w:space="0" w:color="auto"/>
        <w:left w:val="none" w:sz="0" w:space="0" w:color="auto"/>
        <w:bottom w:val="none" w:sz="0" w:space="0" w:color="auto"/>
        <w:right w:val="none" w:sz="0" w:space="0" w:color="auto"/>
      </w:divBdr>
    </w:div>
    <w:div w:id="1132671183">
      <w:bodyDiv w:val="1"/>
      <w:marLeft w:val="0"/>
      <w:marRight w:val="0"/>
      <w:marTop w:val="0"/>
      <w:marBottom w:val="0"/>
      <w:divBdr>
        <w:top w:val="none" w:sz="0" w:space="0" w:color="auto"/>
        <w:left w:val="none" w:sz="0" w:space="0" w:color="auto"/>
        <w:bottom w:val="none" w:sz="0" w:space="0" w:color="auto"/>
        <w:right w:val="none" w:sz="0" w:space="0" w:color="auto"/>
      </w:divBdr>
    </w:div>
    <w:div w:id="1148399521">
      <w:bodyDiv w:val="1"/>
      <w:marLeft w:val="0"/>
      <w:marRight w:val="0"/>
      <w:marTop w:val="0"/>
      <w:marBottom w:val="0"/>
      <w:divBdr>
        <w:top w:val="none" w:sz="0" w:space="0" w:color="auto"/>
        <w:left w:val="none" w:sz="0" w:space="0" w:color="auto"/>
        <w:bottom w:val="none" w:sz="0" w:space="0" w:color="auto"/>
        <w:right w:val="none" w:sz="0" w:space="0" w:color="auto"/>
      </w:divBdr>
    </w:div>
    <w:div w:id="1181747446">
      <w:bodyDiv w:val="1"/>
      <w:marLeft w:val="0"/>
      <w:marRight w:val="0"/>
      <w:marTop w:val="0"/>
      <w:marBottom w:val="0"/>
      <w:divBdr>
        <w:top w:val="none" w:sz="0" w:space="0" w:color="auto"/>
        <w:left w:val="none" w:sz="0" w:space="0" w:color="auto"/>
        <w:bottom w:val="none" w:sz="0" w:space="0" w:color="auto"/>
        <w:right w:val="none" w:sz="0" w:space="0" w:color="auto"/>
      </w:divBdr>
    </w:div>
    <w:div w:id="1525754760">
      <w:bodyDiv w:val="1"/>
      <w:marLeft w:val="0"/>
      <w:marRight w:val="0"/>
      <w:marTop w:val="0"/>
      <w:marBottom w:val="0"/>
      <w:divBdr>
        <w:top w:val="none" w:sz="0" w:space="0" w:color="auto"/>
        <w:left w:val="none" w:sz="0" w:space="0" w:color="auto"/>
        <w:bottom w:val="none" w:sz="0" w:space="0" w:color="auto"/>
        <w:right w:val="none" w:sz="0" w:space="0" w:color="auto"/>
      </w:divBdr>
    </w:div>
    <w:div w:id="1539514431">
      <w:bodyDiv w:val="1"/>
      <w:marLeft w:val="0"/>
      <w:marRight w:val="0"/>
      <w:marTop w:val="0"/>
      <w:marBottom w:val="0"/>
      <w:divBdr>
        <w:top w:val="none" w:sz="0" w:space="0" w:color="auto"/>
        <w:left w:val="none" w:sz="0" w:space="0" w:color="auto"/>
        <w:bottom w:val="none" w:sz="0" w:space="0" w:color="auto"/>
        <w:right w:val="none" w:sz="0" w:space="0" w:color="auto"/>
      </w:divBdr>
    </w:div>
    <w:div w:id="1782800047">
      <w:bodyDiv w:val="1"/>
      <w:marLeft w:val="0"/>
      <w:marRight w:val="0"/>
      <w:marTop w:val="0"/>
      <w:marBottom w:val="0"/>
      <w:divBdr>
        <w:top w:val="none" w:sz="0" w:space="0" w:color="auto"/>
        <w:left w:val="none" w:sz="0" w:space="0" w:color="auto"/>
        <w:bottom w:val="none" w:sz="0" w:space="0" w:color="auto"/>
        <w:right w:val="none" w:sz="0" w:space="0" w:color="auto"/>
      </w:divBdr>
    </w:div>
    <w:div w:id="179767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B0B68-B460-4575-877A-442E3AAF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Base>00000000E2DEA6A05064894D9B0F7CF0E6B650870700A1B156B2E5A26E44A9F93ABC43185B7E00000001694E000002F44E4781EAA74CBEFC45090805DBF70001B97716970000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何萍</dc:creator>
  <dc:description>&lt;M&gt;楼羿南|答复: 浙商基金管理有限公司关于增加浙商全景消费混合型证券投资基金代销机构参加费率优惠及开通定期定投的公告&lt;/M&gt;</dc:description>
  <cp:lastModifiedBy>夏思飞</cp:lastModifiedBy>
  <cp:revision>7</cp:revision>
  <dcterms:created xsi:type="dcterms:W3CDTF">2021-09-23T00:53:00Z</dcterms:created>
  <dcterms:modified xsi:type="dcterms:W3CDTF">2021-12-30T05:30:00Z</dcterms:modified>
  <cp:category>2017-11-29receive</cp:category>
</cp:coreProperties>
</file>