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748" w:rsidRDefault="00866748" w:rsidP="00381F9D">
      <w:pPr>
        <w:jc w:val="center"/>
        <w:rPr>
          <w:rFonts w:ascii="宋体" w:eastAsia="宋体" w:hAnsi="宋体" w:cs="Times New Roman"/>
          <w:b/>
          <w:sz w:val="30"/>
          <w:szCs w:val="30"/>
        </w:rPr>
      </w:pPr>
      <w:bookmarkStart w:id="0" w:name="_GoBack"/>
      <w:bookmarkEnd w:id="0"/>
      <w:r>
        <w:rPr>
          <w:rFonts w:ascii="宋体" w:eastAsia="宋体" w:hAnsi="宋体" w:cs="Times New Roman"/>
          <w:b/>
          <w:sz w:val="30"/>
          <w:szCs w:val="30"/>
        </w:rPr>
        <w:t>浙商</w:t>
      </w:r>
      <w:r w:rsidR="00D77EAF" w:rsidRPr="00866748">
        <w:rPr>
          <w:rFonts w:ascii="宋体" w:eastAsia="宋体" w:hAnsi="宋体" w:cs="Times New Roman"/>
          <w:b/>
          <w:sz w:val="30"/>
          <w:szCs w:val="30"/>
        </w:rPr>
        <w:t>基金管理有限公司</w:t>
      </w:r>
      <w:r w:rsidRPr="00866748">
        <w:rPr>
          <w:rFonts w:ascii="宋体" w:eastAsia="宋体" w:hAnsi="宋体" w:cs="Times New Roman"/>
          <w:b/>
          <w:sz w:val="30"/>
          <w:szCs w:val="30"/>
        </w:rPr>
        <w:t>关于</w:t>
      </w:r>
      <w:r w:rsidR="00B13E0B">
        <w:rPr>
          <w:rFonts w:ascii="宋体" w:eastAsia="宋体" w:hAnsi="宋体" w:cs="Times New Roman" w:hint="eastAsia"/>
          <w:b/>
          <w:sz w:val="30"/>
          <w:szCs w:val="30"/>
        </w:rPr>
        <w:t>旗下部分基金</w:t>
      </w:r>
    </w:p>
    <w:p w:rsidR="00D77EAF" w:rsidRDefault="00D77EAF" w:rsidP="00866748">
      <w:pPr>
        <w:jc w:val="center"/>
      </w:pPr>
      <w:r w:rsidRPr="00866748">
        <w:rPr>
          <w:rFonts w:ascii="宋体" w:eastAsia="宋体" w:hAnsi="宋体" w:cs="Times New Roman"/>
          <w:b/>
          <w:sz w:val="30"/>
          <w:szCs w:val="30"/>
        </w:rPr>
        <w:t>在</w:t>
      </w:r>
      <w:r w:rsidR="00B13E0B">
        <w:rPr>
          <w:rFonts w:ascii="宋体" w:eastAsia="宋体" w:hAnsi="宋体" w:cs="Times New Roman" w:hint="eastAsia"/>
          <w:b/>
          <w:sz w:val="30"/>
          <w:szCs w:val="30"/>
        </w:rPr>
        <w:t>中信</w:t>
      </w:r>
      <w:r w:rsidRPr="00866748">
        <w:rPr>
          <w:rFonts w:ascii="宋体" w:eastAsia="宋体" w:hAnsi="宋体" w:cs="Times New Roman"/>
          <w:b/>
          <w:sz w:val="30"/>
          <w:szCs w:val="30"/>
        </w:rPr>
        <w:t>证券</w:t>
      </w:r>
      <w:r w:rsidR="002A443C">
        <w:rPr>
          <w:rFonts w:ascii="宋体" w:eastAsia="宋体" w:hAnsi="宋体" w:cs="Times New Roman" w:hint="eastAsia"/>
          <w:b/>
          <w:sz w:val="30"/>
          <w:szCs w:val="30"/>
        </w:rPr>
        <w:t>（山东）</w:t>
      </w:r>
      <w:r w:rsidRPr="00866748">
        <w:rPr>
          <w:rFonts w:ascii="宋体" w:eastAsia="宋体" w:hAnsi="宋体" w:cs="Times New Roman"/>
          <w:b/>
          <w:sz w:val="30"/>
          <w:szCs w:val="30"/>
        </w:rPr>
        <w:t>有限</w:t>
      </w:r>
      <w:r w:rsidR="002A443C">
        <w:rPr>
          <w:rFonts w:ascii="宋体" w:eastAsia="宋体" w:hAnsi="宋体" w:cs="Times New Roman" w:hint="eastAsia"/>
          <w:b/>
          <w:sz w:val="30"/>
          <w:szCs w:val="30"/>
        </w:rPr>
        <w:t>责任</w:t>
      </w:r>
      <w:r w:rsidRPr="00866748">
        <w:rPr>
          <w:rFonts w:ascii="宋体" w:eastAsia="宋体" w:hAnsi="宋体" w:cs="Times New Roman"/>
          <w:b/>
          <w:sz w:val="30"/>
          <w:szCs w:val="30"/>
        </w:rPr>
        <w:t>公司开通转换业务的公告</w:t>
      </w:r>
    </w:p>
    <w:p w:rsidR="00D77EAF" w:rsidRDefault="00D77EAF"/>
    <w:p w:rsidR="002D63CA" w:rsidRDefault="00933F38" w:rsidP="00866748">
      <w:pPr>
        <w:spacing w:line="360" w:lineRule="auto"/>
        <w:ind w:firstLineChars="200" w:firstLine="420"/>
        <w:rPr>
          <w:rFonts w:ascii="宋体" w:eastAsia="宋体" w:hAnsi="宋体" w:cs="宋体"/>
          <w:kern w:val="0"/>
          <w:szCs w:val="21"/>
        </w:rPr>
      </w:pPr>
      <w:r w:rsidRPr="00933F38">
        <w:rPr>
          <w:rFonts w:ascii="宋体" w:eastAsia="宋体" w:hAnsi="宋体" w:cs="宋体" w:hint="eastAsia"/>
          <w:kern w:val="0"/>
          <w:szCs w:val="21"/>
        </w:rPr>
        <w:t>浙商基金管理有限公司（以下简称“本公司”）与</w:t>
      </w:r>
      <w:r w:rsidR="002A443C" w:rsidRPr="002A443C">
        <w:rPr>
          <w:rFonts w:ascii="宋体" w:eastAsia="宋体" w:hAnsi="宋体" w:cs="宋体" w:hint="eastAsia"/>
          <w:kern w:val="0"/>
          <w:szCs w:val="21"/>
        </w:rPr>
        <w:t>中信证券（山东）有限责任公司</w:t>
      </w:r>
      <w:r w:rsidRPr="00933F38">
        <w:rPr>
          <w:rFonts w:ascii="宋体" w:eastAsia="宋体" w:hAnsi="宋体" w:cs="宋体" w:hint="eastAsia"/>
          <w:kern w:val="0"/>
          <w:szCs w:val="21"/>
        </w:rPr>
        <w:t>（以下简称“</w:t>
      </w:r>
      <w:r w:rsidR="00B13E0B">
        <w:rPr>
          <w:rFonts w:ascii="宋体" w:eastAsia="宋体" w:hAnsi="宋体" w:cs="宋体" w:hint="eastAsia"/>
          <w:kern w:val="0"/>
          <w:szCs w:val="21"/>
        </w:rPr>
        <w:t>中信证券</w:t>
      </w:r>
      <w:r w:rsidR="003E73FF">
        <w:rPr>
          <w:rFonts w:ascii="宋体" w:eastAsia="宋体" w:hAnsi="宋体" w:cs="宋体" w:hint="eastAsia"/>
          <w:kern w:val="0"/>
          <w:szCs w:val="21"/>
        </w:rPr>
        <w:t>（</w:t>
      </w:r>
      <w:r w:rsidR="002A443C">
        <w:rPr>
          <w:rFonts w:ascii="宋体" w:eastAsia="宋体" w:hAnsi="宋体" w:cs="宋体" w:hint="eastAsia"/>
          <w:kern w:val="0"/>
          <w:szCs w:val="21"/>
        </w:rPr>
        <w:t>山东</w:t>
      </w:r>
      <w:r w:rsidR="003E73FF">
        <w:rPr>
          <w:rFonts w:ascii="宋体" w:eastAsia="宋体" w:hAnsi="宋体" w:cs="宋体" w:hint="eastAsia"/>
          <w:kern w:val="0"/>
          <w:szCs w:val="21"/>
        </w:rPr>
        <w:t>）</w:t>
      </w:r>
      <w:r w:rsidRPr="00933F38">
        <w:rPr>
          <w:rFonts w:ascii="宋体" w:eastAsia="宋体" w:hAnsi="宋体" w:cs="宋体" w:hint="eastAsia"/>
          <w:kern w:val="0"/>
          <w:szCs w:val="21"/>
        </w:rPr>
        <w:t>”）协商一致，自</w:t>
      </w:r>
      <w:r w:rsidRPr="00933F38">
        <w:rPr>
          <w:rFonts w:ascii="宋体" w:eastAsia="宋体" w:hAnsi="宋体" w:cs="宋体"/>
          <w:kern w:val="0"/>
          <w:szCs w:val="21"/>
        </w:rPr>
        <w:t>202</w:t>
      </w:r>
      <w:r>
        <w:rPr>
          <w:rFonts w:ascii="宋体" w:eastAsia="宋体" w:hAnsi="宋体" w:cs="宋体"/>
          <w:kern w:val="0"/>
          <w:szCs w:val="21"/>
        </w:rPr>
        <w:t>1</w:t>
      </w:r>
      <w:r w:rsidRPr="00933F38">
        <w:rPr>
          <w:rFonts w:ascii="宋体" w:eastAsia="宋体" w:hAnsi="宋体" w:cs="宋体"/>
          <w:kern w:val="0"/>
          <w:szCs w:val="21"/>
        </w:rPr>
        <w:t>年</w:t>
      </w:r>
      <w:r w:rsidR="00AE6D16">
        <w:rPr>
          <w:rFonts w:ascii="宋体" w:eastAsia="宋体" w:hAnsi="宋体" w:cs="宋体"/>
          <w:kern w:val="0"/>
          <w:szCs w:val="21"/>
        </w:rPr>
        <w:t>10</w:t>
      </w:r>
      <w:r w:rsidRPr="00933F38">
        <w:rPr>
          <w:rFonts w:ascii="宋体" w:eastAsia="宋体" w:hAnsi="宋体" w:cs="宋体"/>
          <w:kern w:val="0"/>
          <w:szCs w:val="21"/>
        </w:rPr>
        <w:t>月</w:t>
      </w:r>
      <w:r w:rsidR="00B13E0B">
        <w:rPr>
          <w:rFonts w:ascii="宋体" w:eastAsia="宋体" w:hAnsi="宋体" w:cs="宋体"/>
          <w:kern w:val="0"/>
          <w:szCs w:val="21"/>
        </w:rPr>
        <w:t>19</w:t>
      </w:r>
      <w:r w:rsidRPr="00933F38">
        <w:rPr>
          <w:rFonts w:ascii="宋体" w:eastAsia="宋体" w:hAnsi="宋体" w:cs="宋体"/>
          <w:kern w:val="0"/>
          <w:szCs w:val="21"/>
        </w:rPr>
        <w:t>日起在</w:t>
      </w:r>
      <w:r w:rsidR="002A443C">
        <w:rPr>
          <w:rFonts w:ascii="宋体" w:eastAsia="宋体" w:hAnsi="宋体" w:cs="宋体" w:hint="eastAsia"/>
          <w:kern w:val="0"/>
          <w:szCs w:val="21"/>
        </w:rPr>
        <w:t>中信证券</w:t>
      </w:r>
      <w:r w:rsidR="003E73FF">
        <w:rPr>
          <w:rFonts w:ascii="宋体" w:eastAsia="宋体" w:hAnsi="宋体" w:cs="宋体" w:hint="eastAsia"/>
          <w:kern w:val="0"/>
          <w:szCs w:val="21"/>
        </w:rPr>
        <w:t>（</w:t>
      </w:r>
      <w:r w:rsidR="002A443C">
        <w:rPr>
          <w:rFonts w:ascii="宋体" w:eastAsia="宋体" w:hAnsi="宋体" w:cs="宋体" w:hint="eastAsia"/>
          <w:kern w:val="0"/>
          <w:szCs w:val="21"/>
        </w:rPr>
        <w:t>山东</w:t>
      </w:r>
      <w:r w:rsidR="003E73FF">
        <w:rPr>
          <w:rFonts w:ascii="宋体" w:eastAsia="宋体" w:hAnsi="宋体" w:cs="宋体" w:hint="eastAsia"/>
          <w:kern w:val="0"/>
          <w:szCs w:val="21"/>
        </w:rPr>
        <w:t>）</w:t>
      </w:r>
      <w:r w:rsidRPr="00933F38">
        <w:rPr>
          <w:rFonts w:ascii="宋体" w:eastAsia="宋体" w:hAnsi="宋体" w:cs="宋体"/>
          <w:kern w:val="0"/>
          <w:szCs w:val="21"/>
        </w:rPr>
        <w:t>开通本公司旗下部分基金的转换</w:t>
      </w:r>
      <w:r w:rsidRPr="00933F38">
        <w:rPr>
          <w:rFonts w:ascii="宋体" w:eastAsia="宋体" w:hAnsi="宋体" w:cs="宋体" w:hint="eastAsia"/>
          <w:kern w:val="0"/>
          <w:szCs w:val="21"/>
        </w:rPr>
        <w:t>业务。具体公告如下：</w:t>
      </w:r>
      <w:r w:rsidRPr="00933F38">
        <w:rPr>
          <w:rFonts w:ascii="宋体" w:eastAsia="宋体" w:hAnsi="宋体" w:cs="宋体"/>
          <w:kern w:val="0"/>
          <w:szCs w:val="21"/>
        </w:rPr>
        <w:cr/>
      </w:r>
    </w:p>
    <w:p w:rsidR="00866748" w:rsidRPr="002D63CA" w:rsidRDefault="00866748" w:rsidP="002D63CA">
      <w:pPr>
        <w:pStyle w:val="a3"/>
        <w:numPr>
          <w:ilvl w:val="0"/>
          <w:numId w:val="1"/>
        </w:numPr>
        <w:adjustRightInd w:val="0"/>
        <w:snapToGrid w:val="0"/>
        <w:spacing w:line="360" w:lineRule="auto"/>
        <w:ind w:firstLineChars="0"/>
        <w:rPr>
          <w:rFonts w:ascii="宋体" w:eastAsia="宋体" w:hAnsi="宋体" w:cs="宋体"/>
          <w:kern w:val="0"/>
          <w:szCs w:val="21"/>
        </w:rPr>
      </w:pPr>
      <w:r w:rsidRPr="002D63CA">
        <w:rPr>
          <w:rFonts w:ascii="宋体" w:eastAsia="宋体" w:hAnsi="宋体" w:cs="宋体" w:hint="eastAsia"/>
          <w:kern w:val="0"/>
          <w:szCs w:val="21"/>
        </w:rPr>
        <w:t>适用基金</w:t>
      </w:r>
    </w:p>
    <w:tbl>
      <w:tblPr>
        <w:tblW w:w="5046"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7"/>
        <w:gridCol w:w="2289"/>
      </w:tblGrid>
      <w:tr w:rsidR="002D63CA" w:rsidRPr="003E47F1" w:rsidTr="00EC267B">
        <w:trPr>
          <w:trHeight w:val="20"/>
          <w:tblCellSpacing w:w="0" w:type="dxa"/>
          <w:jc w:val="center"/>
        </w:trPr>
        <w:tc>
          <w:tcPr>
            <w:tcW w:w="3632" w:type="pct"/>
            <w:tcBorders>
              <w:top w:val="outset" w:sz="6" w:space="0" w:color="auto"/>
              <w:left w:val="outset" w:sz="6" w:space="0" w:color="auto"/>
              <w:bottom w:val="outset" w:sz="6" w:space="0" w:color="auto"/>
              <w:right w:val="outset" w:sz="6" w:space="0" w:color="auto"/>
            </w:tcBorders>
            <w:vAlign w:val="center"/>
            <w:hideMark/>
          </w:tcPr>
          <w:p w:rsidR="002D63CA" w:rsidRPr="003E47F1" w:rsidRDefault="002D63CA" w:rsidP="00C76B7C">
            <w:pPr>
              <w:widowControl/>
              <w:spacing w:before="225" w:after="225" w:line="360" w:lineRule="atLeast"/>
              <w:jc w:val="center"/>
              <w:rPr>
                <w:rFonts w:ascii="宋体" w:eastAsia="宋体" w:hAnsi="宋体" w:cs="宋体"/>
                <w:kern w:val="0"/>
                <w:szCs w:val="21"/>
              </w:rPr>
            </w:pPr>
            <w:r w:rsidRPr="003E47F1">
              <w:rPr>
                <w:rFonts w:ascii="宋体" w:eastAsia="宋体" w:hAnsi="宋体" w:cs="宋体" w:hint="eastAsia"/>
                <w:kern w:val="0"/>
                <w:szCs w:val="21"/>
              </w:rPr>
              <w:t>基金名称</w:t>
            </w:r>
          </w:p>
        </w:tc>
        <w:tc>
          <w:tcPr>
            <w:tcW w:w="1368" w:type="pct"/>
            <w:tcBorders>
              <w:top w:val="outset" w:sz="6" w:space="0" w:color="auto"/>
              <w:left w:val="outset" w:sz="6" w:space="0" w:color="auto"/>
              <w:bottom w:val="outset" w:sz="6" w:space="0" w:color="auto"/>
              <w:right w:val="outset" w:sz="6" w:space="0" w:color="auto"/>
            </w:tcBorders>
            <w:vAlign w:val="center"/>
            <w:hideMark/>
          </w:tcPr>
          <w:p w:rsidR="002D63CA" w:rsidRPr="003E47F1" w:rsidRDefault="002D63CA" w:rsidP="00C76B7C">
            <w:pPr>
              <w:widowControl/>
              <w:spacing w:before="225" w:after="225" w:line="360" w:lineRule="atLeast"/>
              <w:jc w:val="center"/>
              <w:rPr>
                <w:rFonts w:ascii="宋体" w:eastAsia="宋体" w:hAnsi="宋体" w:cs="宋体"/>
                <w:kern w:val="0"/>
                <w:szCs w:val="21"/>
              </w:rPr>
            </w:pPr>
            <w:r w:rsidRPr="003E47F1">
              <w:rPr>
                <w:rFonts w:ascii="宋体" w:eastAsia="宋体" w:hAnsi="宋体" w:cs="宋体" w:hint="eastAsia"/>
                <w:kern w:val="0"/>
                <w:szCs w:val="21"/>
              </w:rPr>
              <w:t>基金代码</w:t>
            </w:r>
          </w:p>
        </w:tc>
      </w:tr>
      <w:tr w:rsidR="003512D3" w:rsidRPr="003E47F1" w:rsidTr="00CE51C8">
        <w:trPr>
          <w:trHeight w:val="675"/>
          <w:tblCellSpacing w:w="0" w:type="dxa"/>
          <w:jc w:val="center"/>
        </w:trPr>
        <w:tc>
          <w:tcPr>
            <w:tcW w:w="3632" w:type="pct"/>
            <w:tcBorders>
              <w:top w:val="outset" w:sz="6" w:space="0" w:color="auto"/>
              <w:left w:val="outset" w:sz="6" w:space="0" w:color="auto"/>
              <w:bottom w:val="outset" w:sz="6" w:space="0" w:color="auto"/>
              <w:right w:val="outset" w:sz="6" w:space="0" w:color="auto"/>
            </w:tcBorders>
            <w:shd w:val="clear" w:color="auto" w:fill="auto"/>
          </w:tcPr>
          <w:p w:rsidR="003512D3" w:rsidRPr="00CE51C8" w:rsidRDefault="003512D3" w:rsidP="003512D3">
            <w:pPr>
              <w:widowControl/>
              <w:spacing w:before="225" w:after="225"/>
              <w:jc w:val="center"/>
              <w:rPr>
                <w:rFonts w:ascii="宋体" w:eastAsia="宋体" w:hAnsi="宋体"/>
                <w:szCs w:val="21"/>
              </w:rPr>
            </w:pPr>
            <w:r w:rsidRPr="00CE51C8">
              <w:rPr>
                <w:rFonts w:ascii="宋体" w:eastAsia="宋体" w:hAnsi="宋体" w:hint="eastAsia"/>
                <w:szCs w:val="21"/>
              </w:rPr>
              <w:t>浙商大数据智选消费灵活配置混合型证券投资基金</w:t>
            </w:r>
          </w:p>
        </w:tc>
        <w:tc>
          <w:tcPr>
            <w:tcW w:w="1368" w:type="pct"/>
            <w:tcBorders>
              <w:top w:val="outset" w:sz="6" w:space="0" w:color="auto"/>
              <w:left w:val="outset" w:sz="6" w:space="0" w:color="auto"/>
              <w:bottom w:val="outset" w:sz="6" w:space="0" w:color="auto"/>
              <w:right w:val="outset" w:sz="6" w:space="0" w:color="auto"/>
            </w:tcBorders>
            <w:shd w:val="clear" w:color="auto" w:fill="auto"/>
          </w:tcPr>
          <w:p w:rsidR="003512D3" w:rsidRPr="00CE51C8" w:rsidRDefault="003512D3" w:rsidP="003512D3">
            <w:pPr>
              <w:widowControl/>
              <w:spacing w:before="225" w:after="225"/>
              <w:jc w:val="center"/>
              <w:rPr>
                <w:rFonts w:ascii="宋体" w:eastAsia="宋体" w:hAnsi="宋体"/>
                <w:szCs w:val="21"/>
              </w:rPr>
            </w:pPr>
            <w:r w:rsidRPr="00CE51C8">
              <w:rPr>
                <w:rFonts w:ascii="宋体" w:eastAsia="宋体" w:hAnsi="宋体"/>
                <w:szCs w:val="21"/>
              </w:rPr>
              <w:t>002967</w:t>
            </w:r>
          </w:p>
        </w:tc>
      </w:tr>
      <w:tr w:rsidR="003512D3" w:rsidRPr="003E47F1" w:rsidTr="00CE51C8">
        <w:trPr>
          <w:trHeight w:val="20"/>
          <w:tblCellSpacing w:w="0" w:type="dxa"/>
          <w:jc w:val="center"/>
        </w:trPr>
        <w:tc>
          <w:tcPr>
            <w:tcW w:w="3632" w:type="pct"/>
            <w:tcBorders>
              <w:top w:val="outset" w:sz="6" w:space="0" w:color="auto"/>
              <w:left w:val="outset" w:sz="6" w:space="0" w:color="auto"/>
              <w:bottom w:val="outset" w:sz="6" w:space="0" w:color="auto"/>
              <w:right w:val="outset" w:sz="6" w:space="0" w:color="auto"/>
            </w:tcBorders>
            <w:shd w:val="clear" w:color="auto" w:fill="auto"/>
          </w:tcPr>
          <w:p w:rsidR="003512D3" w:rsidRPr="00CE51C8" w:rsidRDefault="003512D3" w:rsidP="003512D3">
            <w:pPr>
              <w:widowControl/>
              <w:spacing w:before="225" w:after="225"/>
              <w:jc w:val="center"/>
              <w:rPr>
                <w:rFonts w:ascii="宋体" w:eastAsia="宋体" w:hAnsi="宋体"/>
                <w:szCs w:val="21"/>
              </w:rPr>
            </w:pPr>
            <w:r w:rsidRPr="00CE51C8">
              <w:rPr>
                <w:rFonts w:ascii="宋体" w:eastAsia="宋体" w:hAnsi="宋体" w:hint="eastAsia"/>
                <w:szCs w:val="21"/>
              </w:rPr>
              <w:t>浙商全景消费混合型证券投资基金</w:t>
            </w:r>
          </w:p>
        </w:tc>
        <w:tc>
          <w:tcPr>
            <w:tcW w:w="1368" w:type="pct"/>
            <w:tcBorders>
              <w:top w:val="outset" w:sz="6" w:space="0" w:color="auto"/>
              <w:left w:val="outset" w:sz="6" w:space="0" w:color="auto"/>
              <w:bottom w:val="outset" w:sz="6" w:space="0" w:color="auto"/>
              <w:right w:val="outset" w:sz="6" w:space="0" w:color="auto"/>
            </w:tcBorders>
            <w:shd w:val="clear" w:color="auto" w:fill="auto"/>
          </w:tcPr>
          <w:p w:rsidR="003512D3" w:rsidRPr="00CE51C8" w:rsidRDefault="003512D3" w:rsidP="003512D3">
            <w:pPr>
              <w:widowControl/>
              <w:spacing w:before="225" w:after="225"/>
              <w:jc w:val="center"/>
              <w:rPr>
                <w:rFonts w:ascii="宋体" w:eastAsia="宋体" w:hAnsi="宋体"/>
                <w:szCs w:val="21"/>
              </w:rPr>
            </w:pPr>
            <w:r w:rsidRPr="00CE51C8">
              <w:rPr>
                <w:rFonts w:ascii="宋体" w:eastAsia="宋体" w:hAnsi="宋体"/>
                <w:szCs w:val="21"/>
              </w:rPr>
              <w:t>005335</w:t>
            </w:r>
          </w:p>
        </w:tc>
      </w:tr>
      <w:tr w:rsidR="003512D3" w:rsidRPr="003E47F1" w:rsidTr="00CE51C8">
        <w:trPr>
          <w:trHeight w:val="20"/>
          <w:tblCellSpacing w:w="0" w:type="dxa"/>
          <w:jc w:val="center"/>
        </w:trPr>
        <w:tc>
          <w:tcPr>
            <w:tcW w:w="3632" w:type="pct"/>
            <w:tcBorders>
              <w:top w:val="outset" w:sz="6" w:space="0" w:color="auto"/>
              <w:left w:val="outset" w:sz="6" w:space="0" w:color="auto"/>
              <w:bottom w:val="outset" w:sz="6" w:space="0" w:color="auto"/>
              <w:right w:val="outset" w:sz="6" w:space="0" w:color="auto"/>
            </w:tcBorders>
            <w:shd w:val="clear" w:color="auto" w:fill="auto"/>
          </w:tcPr>
          <w:p w:rsidR="003512D3" w:rsidRPr="00CE51C8" w:rsidRDefault="003512D3" w:rsidP="003512D3">
            <w:pPr>
              <w:widowControl/>
              <w:spacing w:before="225" w:after="225"/>
              <w:jc w:val="center"/>
              <w:rPr>
                <w:rFonts w:ascii="宋体" w:eastAsia="宋体" w:hAnsi="宋体"/>
                <w:szCs w:val="21"/>
              </w:rPr>
            </w:pPr>
            <w:r w:rsidRPr="00CE51C8">
              <w:rPr>
                <w:rFonts w:ascii="宋体" w:eastAsia="宋体" w:hAnsi="宋体" w:hint="eastAsia"/>
                <w:szCs w:val="21"/>
              </w:rPr>
              <w:t>浙商聚潮新思维混合型证券投资基金</w:t>
            </w:r>
          </w:p>
        </w:tc>
        <w:tc>
          <w:tcPr>
            <w:tcW w:w="1368" w:type="pct"/>
            <w:tcBorders>
              <w:top w:val="outset" w:sz="6" w:space="0" w:color="auto"/>
              <w:left w:val="outset" w:sz="6" w:space="0" w:color="auto"/>
              <w:bottom w:val="outset" w:sz="6" w:space="0" w:color="auto"/>
              <w:right w:val="outset" w:sz="6" w:space="0" w:color="auto"/>
            </w:tcBorders>
            <w:shd w:val="clear" w:color="auto" w:fill="auto"/>
          </w:tcPr>
          <w:p w:rsidR="003512D3" w:rsidRPr="00CE51C8" w:rsidRDefault="003512D3" w:rsidP="003512D3">
            <w:pPr>
              <w:widowControl/>
              <w:spacing w:before="225" w:after="225"/>
              <w:jc w:val="center"/>
              <w:rPr>
                <w:rFonts w:ascii="宋体" w:eastAsia="宋体" w:hAnsi="宋体"/>
                <w:szCs w:val="21"/>
              </w:rPr>
            </w:pPr>
            <w:r w:rsidRPr="00CE51C8">
              <w:rPr>
                <w:rFonts w:ascii="宋体" w:eastAsia="宋体" w:hAnsi="宋体"/>
                <w:szCs w:val="21"/>
              </w:rPr>
              <w:t>166801</w:t>
            </w:r>
          </w:p>
        </w:tc>
      </w:tr>
      <w:tr w:rsidR="003512D3" w:rsidRPr="003E47F1" w:rsidTr="00CE51C8">
        <w:trPr>
          <w:trHeight w:val="20"/>
          <w:tblCellSpacing w:w="0" w:type="dxa"/>
          <w:jc w:val="center"/>
        </w:trPr>
        <w:tc>
          <w:tcPr>
            <w:tcW w:w="3632" w:type="pct"/>
            <w:tcBorders>
              <w:top w:val="outset" w:sz="6" w:space="0" w:color="auto"/>
              <w:left w:val="outset" w:sz="6" w:space="0" w:color="auto"/>
              <w:bottom w:val="outset" w:sz="6" w:space="0" w:color="auto"/>
              <w:right w:val="outset" w:sz="6" w:space="0" w:color="auto"/>
            </w:tcBorders>
            <w:shd w:val="clear" w:color="auto" w:fill="auto"/>
          </w:tcPr>
          <w:p w:rsidR="003512D3" w:rsidRPr="00900B52" w:rsidRDefault="003512D3" w:rsidP="003512D3">
            <w:pPr>
              <w:widowControl/>
              <w:spacing w:before="225" w:after="225"/>
              <w:jc w:val="center"/>
              <w:rPr>
                <w:rFonts w:ascii="宋体" w:eastAsia="宋体" w:hAnsi="宋体"/>
                <w:szCs w:val="21"/>
              </w:rPr>
            </w:pPr>
            <w:r w:rsidRPr="00CE51C8">
              <w:rPr>
                <w:rFonts w:ascii="宋体" w:eastAsia="宋体" w:hAnsi="宋体" w:hint="eastAsia"/>
                <w:szCs w:val="21"/>
              </w:rPr>
              <w:t>浙商沪深</w:t>
            </w:r>
            <w:r w:rsidRPr="00CE51C8">
              <w:rPr>
                <w:rFonts w:ascii="宋体" w:eastAsia="宋体" w:hAnsi="宋体"/>
                <w:szCs w:val="21"/>
              </w:rPr>
              <w:t>300指数增强型证券投资基金(LOF)</w:t>
            </w:r>
          </w:p>
        </w:tc>
        <w:tc>
          <w:tcPr>
            <w:tcW w:w="1368" w:type="pct"/>
            <w:tcBorders>
              <w:top w:val="outset" w:sz="6" w:space="0" w:color="auto"/>
              <w:left w:val="outset" w:sz="6" w:space="0" w:color="auto"/>
              <w:bottom w:val="outset" w:sz="6" w:space="0" w:color="auto"/>
              <w:right w:val="outset" w:sz="6" w:space="0" w:color="auto"/>
            </w:tcBorders>
            <w:shd w:val="clear" w:color="auto" w:fill="auto"/>
          </w:tcPr>
          <w:p w:rsidR="003512D3" w:rsidRPr="00900B52" w:rsidRDefault="003512D3" w:rsidP="003512D3">
            <w:pPr>
              <w:widowControl/>
              <w:spacing w:before="225" w:after="225"/>
              <w:jc w:val="center"/>
              <w:rPr>
                <w:rFonts w:ascii="宋体" w:eastAsia="宋体" w:hAnsi="宋体"/>
                <w:szCs w:val="21"/>
              </w:rPr>
            </w:pPr>
            <w:r w:rsidRPr="00CE51C8">
              <w:rPr>
                <w:rFonts w:ascii="宋体" w:eastAsia="宋体" w:hAnsi="宋体"/>
                <w:szCs w:val="21"/>
              </w:rPr>
              <w:t>166802</w:t>
            </w:r>
          </w:p>
        </w:tc>
      </w:tr>
      <w:tr w:rsidR="003512D3" w:rsidRPr="003E47F1" w:rsidTr="000A029D">
        <w:trPr>
          <w:trHeight w:val="20"/>
          <w:tblCellSpacing w:w="0" w:type="dxa"/>
          <w:jc w:val="center"/>
        </w:trPr>
        <w:tc>
          <w:tcPr>
            <w:tcW w:w="3632" w:type="pct"/>
            <w:tcBorders>
              <w:top w:val="outset" w:sz="6" w:space="0" w:color="auto"/>
              <w:left w:val="outset" w:sz="6" w:space="0" w:color="auto"/>
              <w:bottom w:val="outset" w:sz="6" w:space="0" w:color="auto"/>
              <w:right w:val="outset" w:sz="6" w:space="0" w:color="auto"/>
            </w:tcBorders>
            <w:shd w:val="clear" w:color="auto" w:fill="auto"/>
            <w:vAlign w:val="center"/>
          </w:tcPr>
          <w:p w:rsidR="003512D3" w:rsidRPr="00EC267B" w:rsidRDefault="003512D3" w:rsidP="003512D3">
            <w:pPr>
              <w:widowControl/>
              <w:spacing w:before="225" w:after="225"/>
              <w:jc w:val="center"/>
              <w:rPr>
                <w:rFonts w:ascii="宋体" w:eastAsia="宋体" w:hAnsi="宋体"/>
                <w:szCs w:val="21"/>
              </w:rPr>
            </w:pPr>
            <w:r w:rsidRPr="003512D3">
              <w:rPr>
                <w:rFonts w:ascii="宋体" w:eastAsia="宋体" w:hAnsi="宋体" w:hint="eastAsia"/>
                <w:szCs w:val="21"/>
              </w:rPr>
              <w:t>浙商聚潮产业成长混合型证券投资基金</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tcPr>
          <w:p w:rsidR="003512D3" w:rsidRPr="00EC267B" w:rsidRDefault="003512D3" w:rsidP="003512D3">
            <w:pPr>
              <w:widowControl/>
              <w:spacing w:before="225" w:after="225"/>
              <w:jc w:val="center"/>
              <w:rPr>
                <w:rFonts w:ascii="宋体" w:eastAsia="宋体" w:hAnsi="宋体"/>
                <w:szCs w:val="21"/>
              </w:rPr>
            </w:pPr>
            <w:r w:rsidRPr="00EC267B">
              <w:rPr>
                <w:rFonts w:ascii="宋体" w:eastAsia="宋体" w:hAnsi="宋体"/>
                <w:szCs w:val="21"/>
              </w:rPr>
              <w:t>A</w:t>
            </w:r>
            <w:r w:rsidRPr="00EC267B">
              <w:rPr>
                <w:rFonts w:ascii="宋体" w:eastAsia="宋体" w:hAnsi="宋体" w:hint="eastAsia"/>
                <w:szCs w:val="21"/>
              </w:rPr>
              <w:t>类：</w:t>
            </w:r>
            <w:r>
              <w:rPr>
                <w:rFonts w:ascii="宋体" w:eastAsia="宋体" w:hAnsi="宋体"/>
                <w:szCs w:val="21"/>
              </w:rPr>
              <w:t>688888</w:t>
            </w:r>
          </w:p>
          <w:p w:rsidR="003512D3" w:rsidRPr="00EC267B" w:rsidRDefault="003512D3" w:rsidP="003512D3">
            <w:pPr>
              <w:widowControl/>
              <w:spacing w:before="225" w:after="225"/>
              <w:jc w:val="center"/>
              <w:rPr>
                <w:rFonts w:ascii="宋体" w:eastAsia="宋体" w:hAnsi="宋体"/>
                <w:szCs w:val="21"/>
              </w:rPr>
            </w:pPr>
            <w:r w:rsidRPr="00EC267B">
              <w:rPr>
                <w:rFonts w:ascii="宋体" w:eastAsia="宋体" w:hAnsi="宋体"/>
                <w:szCs w:val="21"/>
              </w:rPr>
              <w:t>C</w:t>
            </w:r>
            <w:r w:rsidRPr="00EC267B">
              <w:rPr>
                <w:rFonts w:ascii="宋体" w:eastAsia="宋体" w:hAnsi="宋体" w:hint="eastAsia"/>
                <w:szCs w:val="21"/>
              </w:rPr>
              <w:t>类：</w:t>
            </w:r>
            <w:r w:rsidRPr="00EC267B">
              <w:rPr>
                <w:rFonts w:ascii="宋体" w:eastAsia="宋体" w:hAnsi="宋体"/>
                <w:szCs w:val="21"/>
              </w:rPr>
              <w:t>0</w:t>
            </w:r>
            <w:r>
              <w:rPr>
                <w:rFonts w:ascii="宋体" w:eastAsia="宋体" w:hAnsi="宋体"/>
                <w:szCs w:val="21"/>
              </w:rPr>
              <w:t>13531</w:t>
            </w:r>
          </w:p>
        </w:tc>
      </w:tr>
      <w:tr w:rsidR="003512D3" w:rsidRPr="003E47F1" w:rsidTr="000A029D">
        <w:trPr>
          <w:trHeight w:val="20"/>
          <w:tblCellSpacing w:w="0" w:type="dxa"/>
          <w:jc w:val="center"/>
        </w:trPr>
        <w:tc>
          <w:tcPr>
            <w:tcW w:w="3632" w:type="pct"/>
            <w:tcBorders>
              <w:top w:val="outset" w:sz="6" w:space="0" w:color="auto"/>
              <w:left w:val="outset" w:sz="6" w:space="0" w:color="auto"/>
              <w:bottom w:val="outset" w:sz="6" w:space="0" w:color="auto"/>
              <w:right w:val="outset" w:sz="6" w:space="0" w:color="auto"/>
            </w:tcBorders>
            <w:shd w:val="clear" w:color="auto" w:fill="auto"/>
            <w:vAlign w:val="center"/>
          </w:tcPr>
          <w:p w:rsidR="003512D3" w:rsidRPr="00EC267B" w:rsidRDefault="00266442" w:rsidP="003512D3">
            <w:pPr>
              <w:widowControl/>
              <w:spacing w:before="225" w:after="225"/>
              <w:jc w:val="center"/>
              <w:rPr>
                <w:rFonts w:ascii="宋体" w:eastAsia="宋体" w:hAnsi="宋体"/>
                <w:szCs w:val="21"/>
              </w:rPr>
            </w:pPr>
            <w:r w:rsidRPr="00266442">
              <w:rPr>
                <w:rFonts w:ascii="宋体" w:eastAsia="宋体" w:hAnsi="宋体" w:hint="eastAsia"/>
                <w:szCs w:val="21"/>
              </w:rPr>
              <w:t>浙商聚盈纯债债券型证券投资基金</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tcPr>
          <w:p w:rsidR="00266442" w:rsidRPr="00EC267B" w:rsidRDefault="00266442" w:rsidP="00266442">
            <w:pPr>
              <w:widowControl/>
              <w:spacing w:before="225" w:after="225"/>
              <w:jc w:val="center"/>
              <w:rPr>
                <w:rFonts w:ascii="宋体" w:eastAsia="宋体" w:hAnsi="宋体"/>
                <w:szCs w:val="21"/>
              </w:rPr>
            </w:pPr>
            <w:r w:rsidRPr="00EC267B">
              <w:rPr>
                <w:rFonts w:ascii="宋体" w:eastAsia="宋体" w:hAnsi="宋体"/>
                <w:szCs w:val="21"/>
              </w:rPr>
              <w:t>A</w:t>
            </w:r>
            <w:r w:rsidRPr="00EC267B">
              <w:rPr>
                <w:rFonts w:ascii="宋体" w:eastAsia="宋体" w:hAnsi="宋体" w:hint="eastAsia"/>
                <w:szCs w:val="21"/>
              </w:rPr>
              <w:t>类：</w:t>
            </w:r>
            <w:r>
              <w:rPr>
                <w:rFonts w:ascii="宋体" w:eastAsia="宋体" w:hAnsi="宋体"/>
                <w:szCs w:val="21"/>
              </w:rPr>
              <w:t>686868</w:t>
            </w:r>
          </w:p>
          <w:p w:rsidR="003512D3" w:rsidRPr="00EC267B" w:rsidRDefault="00266442" w:rsidP="00266442">
            <w:pPr>
              <w:widowControl/>
              <w:spacing w:before="225" w:after="225"/>
              <w:jc w:val="center"/>
              <w:rPr>
                <w:rFonts w:ascii="宋体" w:eastAsia="宋体" w:hAnsi="宋体"/>
                <w:szCs w:val="21"/>
              </w:rPr>
            </w:pPr>
            <w:r w:rsidRPr="00EC267B">
              <w:rPr>
                <w:rFonts w:ascii="宋体" w:eastAsia="宋体" w:hAnsi="宋体"/>
                <w:szCs w:val="21"/>
              </w:rPr>
              <w:t>C</w:t>
            </w:r>
            <w:r w:rsidRPr="00EC267B">
              <w:rPr>
                <w:rFonts w:ascii="宋体" w:eastAsia="宋体" w:hAnsi="宋体" w:hint="eastAsia"/>
                <w:szCs w:val="21"/>
              </w:rPr>
              <w:t>类：</w:t>
            </w:r>
            <w:r>
              <w:rPr>
                <w:rFonts w:ascii="宋体" w:eastAsia="宋体" w:hAnsi="宋体"/>
                <w:szCs w:val="21"/>
              </w:rPr>
              <w:t>686869</w:t>
            </w:r>
          </w:p>
        </w:tc>
      </w:tr>
      <w:tr w:rsidR="003512D3" w:rsidRPr="003E47F1" w:rsidTr="000A029D">
        <w:trPr>
          <w:trHeight w:val="20"/>
          <w:tblCellSpacing w:w="0" w:type="dxa"/>
          <w:jc w:val="center"/>
        </w:trPr>
        <w:tc>
          <w:tcPr>
            <w:tcW w:w="3632" w:type="pct"/>
            <w:tcBorders>
              <w:top w:val="outset" w:sz="6" w:space="0" w:color="auto"/>
              <w:left w:val="outset" w:sz="6" w:space="0" w:color="auto"/>
              <w:bottom w:val="outset" w:sz="6" w:space="0" w:color="auto"/>
              <w:right w:val="outset" w:sz="6" w:space="0" w:color="auto"/>
            </w:tcBorders>
            <w:shd w:val="clear" w:color="auto" w:fill="auto"/>
            <w:vAlign w:val="center"/>
          </w:tcPr>
          <w:p w:rsidR="003512D3" w:rsidRPr="00EC267B" w:rsidRDefault="00266442" w:rsidP="003512D3">
            <w:pPr>
              <w:widowControl/>
              <w:spacing w:before="225" w:after="225"/>
              <w:jc w:val="center"/>
              <w:rPr>
                <w:rFonts w:ascii="宋体" w:eastAsia="宋体" w:hAnsi="宋体"/>
                <w:szCs w:val="21"/>
              </w:rPr>
            </w:pPr>
            <w:r w:rsidRPr="00266442">
              <w:rPr>
                <w:rFonts w:ascii="宋体" w:eastAsia="宋体" w:hAnsi="宋体" w:hint="eastAsia"/>
                <w:szCs w:val="21"/>
              </w:rPr>
              <w:t>浙商日添利货币市场基金</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tcPr>
          <w:p w:rsidR="00266442" w:rsidRPr="00EC267B" w:rsidRDefault="00266442" w:rsidP="00266442">
            <w:pPr>
              <w:widowControl/>
              <w:spacing w:before="225" w:after="225"/>
              <w:jc w:val="center"/>
              <w:rPr>
                <w:rFonts w:ascii="宋体" w:eastAsia="宋体" w:hAnsi="宋体"/>
                <w:szCs w:val="21"/>
              </w:rPr>
            </w:pPr>
            <w:r w:rsidRPr="00EC267B">
              <w:rPr>
                <w:rFonts w:ascii="宋体" w:eastAsia="宋体" w:hAnsi="宋体"/>
                <w:szCs w:val="21"/>
              </w:rPr>
              <w:t>A</w:t>
            </w:r>
            <w:r w:rsidRPr="00EC267B">
              <w:rPr>
                <w:rFonts w:ascii="宋体" w:eastAsia="宋体" w:hAnsi="宋体" w:hint="eastAsia"/>
                <w:szCs w:val="21"/>
              </w:rPr>
              <w:t>类：</w:t>
            </w:r>
            <w:r>
              <w:rPr>
                <w:rFonts w:ascii="宋体" w:eastAsia="宋体" w:hAnsi="宋体"/>
                <w:szCs w:val="21"/>
              </w:rPr>
              <w:t>002077</w:t>
            </w:r>
          </w:p>
          <w:p w:rsidR="003512D3" w:rsidRPr="00EC267B" w:rsidRDefault="00266442" w:rsidP="00266442">
            <w:pPr>
              <w:widowControl/>
              <w:spacing w:before="225" w:after="225"/>
              <w:jc w:val="center"/>
              <w:rPr>
                <w:rFonts w:ascii="宋体" w:eastAsia="宋体" w:hAnsi="宋体"/>
                <w:szCs w:val="21"/>
              </w:rPr>
            </w:pPr>
            <w:r w:rsidRPr="00EC267B">
              <w:rPr>
                <w:rFonts w:ascii="宋体" w:eastAsia="宋体" w:hAnsi="宋体"/>
                <w:szCs w:val="21"/>
              </w:rPr>
              <w:t>C</w:t>
            </w:r>
            <w:r w:rsidRPr="00EC267B">
              <w:rPr>
                <w:rFonts w:ascii="宋体" w:eastAsia="宋体" w:hAnsi="宋体" w:hint="eastAsia"/>
                <w:szCs w:val="21"/>
              </w:rPr>
              <w:t>类：</w:t>
            </w:r>
            <w:r w:rsidRPr="00EC267B">
              <w:rPr>
                <w:rFonts w:ascii="宋体" w:eastAsia="宋体" w:hAnsi="宋体"/>
                <w:szCs w:val="21"/>
              </w:rPr>
              <w:t>0</w:t>
            </w:r>
            <w:r>
              <w:rPr>
                <w:rFonts w:ascii="宋体" w:eastAsia="宋体" w:hAnsi="宋体"/>
                <w:szCs w:val="21"/>
              </w:rPr>
              <w:t>02078</w:t>
            </w:r>
          </w:p>
        </w:tc>
      </w:tr>
    </w:tbl>
    <w:p w:rsidR="003E47F1" w:rsidRPr="003E47F1" w:rsidRDefault="00D77EAF" w:rsidP="00866748">
      <w:pPr>
        <w:spacing w:line="360" w:lineRule="auto"/>
        <w:ind w:firstLineChars="200" w:firstLine="420"/>
        <w:rPr>
          <w:rFonts w:ascii="宋体" w:eastAsia="宋体" w:hAnsi="宋体" w:cs="宋体"/>
          <w:kern w:val="0"/>
          <w:szCs w:val="21"/>
        </w:rPr>
      </w:pPr>
      <w:r w:rsidRPr="003E47F1">
        <w:rPr>
          <w:rFonts w:ascii="宋体" w:eastAsia="宋体" w:hAnsi="宋体" w:cs="宋体"/>
          <w:kern w:val="0"/>
          <w:szCs w:val="21"/>
        </w:rPr>
        <w:t>注：</w:t>
      </w:r>
      <w:r w:rsidR="003E47F1" w:rsidRPr="003E47F1">
        <w:rPr>
          <w:rFonts w:ascii="宋体" w:eastAsia="宋体" w:hAnsi="宋体" w:cs="宋体"/>
          <w:kern w:val="0"/>
          <w:szCs w:val="21"/>
        </w:rPr>
        <w:t>A/C</w:t>
      </w:r>
      <w:r w:rsidR="003E47F1" w:rsidRPr="003E47F1">
        <w:rPr>
          <w:rFonts w:ascii="宋体" w:eastAsia="宋体" w:hAnsi="宋体" w:cs="宋体" w:hint="eastAsia"/>
          <w:kern w:val="0"/>
          <w:szCs w:val="21"/>
        </w:rPr>
        <w:t>份额不能相互转换</w:t>
      </w:r>
    </w:p>
    <w:p w:rsidR="003E47F1" w:rsidRPr="003E47F1" w:rsidRDefault="003E47F1" w:rsidP="00866748">
      <w:pPr>
        <w:spacing w:line="360" w:lineRule="auto"/>
        <w:ind w:firstLineChars="200" w:firstLine="420"/>
        <w:rPr>
          <w:rFonts w:ascii="宋体" w:eastAsia="宋体" w:hAnsi="宋体" w:cs="宋体"/>
          <w:kern w:val="0"/>
          <w:szCs w:val="21"/>
        </w:rPr>
      </w:pPr>
    </w:p>
    <w:p w:rsidR="003E47F1" w:rsidRPr="003E47F1" w:rsidRDefault="003E47F1" w:rsidP="00866748">
      <w:pPr>
        <w:spacing w:line="360" w:lineRule="auto"/>
        <w:ind w:firstLineChars="200" w:firstLine="420"/>
        <w:rPr>
          <w:rFonts w:ascii="宋体" w:eastAsia="宋体" w:hAnsi="宋体" w:cs="宋体"/>
          <w:kern w:val="0"/>
          <w:szCs w:val="21"/>
        </w:rPr>
      </w:pPr>
      <w:r>
        <w:rPr>
          <w:rFonts w:ascii="宋体" w:eastAsia="宋体" w:hAnsi="宋体" w:cs="宋体"/>
          <w:kern w:val="0"/>
          <w:szCs w:val="21"/>
        </w:rPr>
        <w:t>二、</w:t>
      </w:r>
      <w:r w:rsidR="0005552C">
        <w:rPr>
          <w:rFonts w:ascii="宋体" w:eastAsia="宋体" w:hAnsi="宋体" w:cs="宋体" w:hint="eastAsia"/>
          <w:kern w:val="0"/>
          <w:szCs w:val="21"/>
        </w:rPr>
        <w:t>基金</w:t>
      </w:r>
      <w:r w:rsidR="00B76F46">
        <w:rPr>
          <w:rFonts w:ascii="宋体" w:eastAsia="宋体" w:hAnsi="宋体" w:cs="宋体" w:hint="eastAsia"/>
          <w:kern w:val="0"/>
          <w:szCs w:val="21"/>
        </w:rPr>
        <w:t>转换业务规则</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1.基金转换是指投资者在持有本公司发行的任一开放式基金后，可将其持有的基金份额</w:t>
      </w:r>
      <w:r w:rsidRPr="00B76F46">
        <w:rPr>
          <w:rFonts w:ascii="宋体" w:eastAsia="宋体" w:hAnsi="宋体" w:cs="宋体"/>
          <w:kern w:val="0"/>
          <w:szCs w:val="21"/>
        </w:rPr>
        <w:lastRenderedPageBreak/>
        <w:t>直接转换成本公司管理的其它开放式基金的基金份额，而不需要先赎回已持有的基金份额，再申购目标基金的一种业务模式。</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2.基金转换只能在同一销售机构进行。转换的两只基金必须都是该销售机构销售的同一基金管理人管理的、在同一注册登记人处注册且已开通转换业务的基金。</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3.投资者办理基金转换业务时，转出方的基金必须处于可赎回状态，转入方的基金必须处于可申购状态。</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4.基金转换的目标基金份额按新交易计算持有时间。基金转出视为赎回，转入视为申购。正常情况下，基金注册与过户登记人将在T+1日对投资者T日的基金转换业务申请进行有效性确认。在T＋2日后（包括该日）投资者可向销售机构查询基金转换的成交情况。基金转换后可赎回的时间为T＋2日后（包括该日）。</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5.基金分红时再投资的份额可在权益登记日的T＋2日提交基金转换申请。</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6.基金转换采取未知价法，即以申请受理当日各转出、转入基金的单位资产净值为基础进行计算。</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7.基金转换费用由转出基金的赎回费、转出和转入基金的申购费补差构成。</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8.基金转换的具体计算公式如下：</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①转出金额</w:t>
      </w:r>
      <w:r w:rsidRPr="00B76F46">
        <w:rPr>
          <w:rFonts w:ascii="宋体" w:eastAsia="宋体" w:hAnsi="宋体" w:cs="宋体"/>
          <w:kern w:val="0"/>
          <w:szCs w:val="21"/>
        </w:rPr>
        <w:t>=转出基金份额×转出基金T日基金份额净值</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②转出基金赎回费用</w:t>
      </w:r>
      <w:r w:rsidRPr="00B76F46">
        <w:rPr>
          <w:rFonts w:ascii="宋体" w:eastAsia="宋体" w:hAnsi="宋体" w:cs="宋体"/>
          <w:kern w:val="0"/>
          <w:szCs w:val="21"/>
        </w:rPr>
        <w:t>=转出金额×转出基金赎回费率</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③转入金额</w:t>
      </w:r>
      <w:r w:rsidRPr="00B76F46">
        <w:rPr>
          <w:rFonts w:ascii="宋体" w:eastAsia="宋体" w:hAnsi="宋体" w:cs="宋体"/>
          <w:kern w:val="0"/>
          <w:szCs w:val="21"/>
        </w:rPr>
        <w:t>=转出金额-转出基金赎回费用</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④转入基金申购费</w:t>
      </w:r>
      <w:r w:rsidRPr="00B76F46">
        <w:rPr>
          <w:rFonts w:ascii="宋体" w:eastAsia="宋体" w:hAnsi="宋体" w:cs="宋体"/>
          <w:kern w:val="0"/>
          <w:szCs w:val="21"/>
        </w:rPr>
        <w:t>=转入金额/(1+转入基金申购费率)×转入基金申购费率</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⑤转出基金申购费</w:t>
      </w:r>
      <w:r w:rsidRPr="00B76F46">
        <w:rPr>
          <w:rFonts w:ascii="宋体" w:eastAsia="宋体" w:hAnsi="宋体" w:cs="宋体"/>
          <w:kern w:val="0"/>
          <w:szCs w:val="21"/>
        </w:rPr>
        <w:t>=转入金额/(1+转出基金申购费率)×转出基金申购费率</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⑥各基金在转换过程中转出金额对应的转出基金或转入基金申购费用为固定费用时，则该基金计算补差费率时的转出基金的原申购费率或转入基金的申购费率视为</w:t>
      </w:r>
      <w:r w:rsidRPr="00B76F46">
        <w:rPr>
          <w:rFonts w:ascii="宋体" w:eastAsia="宋体" w:hAnsi="宋体" w:cs="宋体"/>
          <w:kern w:val="0"/>
          <w:szCs w:val="21"/>
        </w:rPr>
        <w:t>0；</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⑦基金在完成转换后不连续计算持有期；</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⑧补差费用</w:t>
      </w:r>
      <w:r w:rsidRPr="00B76F46">
        <w:rPr>
          <w:rFonts w:ascii="宋体" w:eastAsia="宋体" w:hAnsi="宋体" w:cs="宋体"/>
          <w:kern w:val="0"/>
          <w:szCs w:val="21"/>
        </w:rPr>
        <w:t>=Max{(转入基金申购费-转出基金申购费)，0}</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⑨净转入金额</w:t>
      </w:r>
      <w:r w:rsidRPr="00B76F46">
        <w:rPr>
          <w:rFonts w:ascii="宋体" w:eastAsia="宋体" w:hAnsi="宋体" w:cs="宋体"/>
          <w:kern w:val="0"/>
          <w:szCs w:val="21"/>
        </w:rPr>
        <w:t>=转入金额-补差费用</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⑩转入份额</w:t>
      </w:r>
      <w:r w:rsidRPr="00B76F46">
        <w:rPr>
          <w:rFonts w:ascii="宋体" w:eastAsia="宋体" w:hAnsi="宋体" w:cs="宋体"/>
          <w:kern w:val="0"/>
          <w:szCs w:val="21"/>
        </w:rPr>
        <w:t>=净转入金额/转入基金T日基金份额净值</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注：公式中的“转出基金申购费”是在本次转换过程中按照转入金额重新计算的费用，仅用于计算补差费用，非转出基金份额在申购时实际支付的费用。</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9.投资者采用“份额转换”的原则提交申请。基金转出份额必须是可用份额，并遵循“先进先出”的原则。已冻结份额不得申请转换。</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lastRenderedPageBreak/>
        <w:t>10.各基金的转换申请时间以其《基金合同》及《招募说明书（更新）》的相关规定为准，当日的转换申请可以在15:00以前在销售机构处撤销，超过交易时间的申请作失败或下一日申请处理。</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11.基金转出的份额限制以其《基金合同》及《招募说明书（更新）》的相关规定为准，单笔转入申请不受转入基金最低申购限额限制。</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12.单个开放日基金净赎回份额及净转换转出申请份额之和超出上一开放日基金总份额的10%时，为巨额赎回。发生巨额赎回时，基金转出与基金赎回具有相同的优先级，基金管理人可根据基金资产合情况，决定全额转出或部分转出，并且对于基金转出和基金赎回，将采取相同的比例确认。在转出申请得到部分确认的情况下，未确认的转出申请将不予以顺延。</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13.出现下列情况之一时，基金管理人可以暂停基金转换业务：</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w:t>
      </w:r>
      <w:r w:rsidRPr="00B76F46">
        <w:rPr>
          <w:rFonts w:ascii="宋体" w:eastAsia="宋体" w:hAnsi="宋体" w:cs="宋体"/>
          <w:kern w:val="0"/>
          <w:szCs w:val="21"/>
        </w:rPr>
        <w:t>1）不可抗力的原因导致基金无法正常运作。</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w:t>
      </w:r>
      <w:r w:rsidRPr="00B76F46">
        <w:rPr>
          <w:rFonts w:ascii="宋体" w:eastAsia="宋体" w:hAnsi="宋体" w:cs="宋体"/>
          <w:kern w:val="0"/>
          <w:szCs w:val="21"/>
        </w:rPr>
        <w:t>2）证券交易场所在交易时间非正常停市，导致基金管理人无法计算当日基金份额净值。</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w:t>
      </w:r>
      <w:r w:rsidRPr="00B76F46">
        <w:rPr>
          <w:rFonts w:ascii="宋体" w:eastAsia="宋体" w:hAnsi="宋体" w:cs="宋体"/>
          <w:kern w:val="0"/>
          <w:szCs w:val="21"/>
        </w:rPr>
        <w:t>3）因市场剧烈波动或其他原因而出现连续巨额赎回，基金管理人认为有必要暂停接受该基金份额转出申请。</w:t>
      </w:r>
    </w:p>
    <w:p w:rsidR="00B76F46" w:rsidRPr="00B76F46" w:rsidRDefault="00B76F46" w:rsidP="00B76F46">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w:t>
      </w:r>
      <w:r w:rsidRPr="00B76F46">
        <w:rPr>
          <w:rFonts w:ascii="宋体" w:eastAsia="宋体" w:hAnsi="宋体" w:cs="宋体"/>
          <w:kern w:val="0"/>
          <w:szCs w:val="21"/>
        </w:rPr>
        <w:t>4）法律、法规、规章规定的其他情形或其他在《基金合同》、《招募说明书（更新）》已载明并获证监会批准的特殊情形。</w:t>
      </w:r>
    </w:p>
    <w:p w:rsidR="00290B13" w:rsidRDefault="00B76F46" w:rsidP="00866748">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基金暂停转换或暂停后重新开放转换时，本公司将依照《公开募集证券投资基金信息披露管理办法》的有关规定在</w:t>
      </w:r>
      <w:r w:rsidR="00ED30BD" w:rsidRPr="00ED30BD">
        <w:rPr>
          <w:rFonts w:ascii="宋体" w:eastAsia="宋体" w:hAnsi="宋体" w:cs="宋体" w:hint="eastAsia"/>
          <w:kern w:val="0"/>
          <w:szCs w:val="21"/>
        </w:rPr>
        <w:t>规</w:t>
      </w:r>
      <w:r w:rsidRPr="00B76F46">
        <w:rPr>
          <w:rFonts w:ascii="宋体" w:eastAsia="宋体" w:hAnsi="宋体" w:cs="宋体" w:hint="eastAsia"/>
          <w:kern w:val="0"/>
          <w:szCs w:val="21"/>
        </w:rPr>
        <w:t>定媒介上公告。</w:t>
      </w:r>
    </w:p>
    <w:p w:rsidR="00290B13" w:rsidRPr="00290B13" w:rsidRDefault="00290B13" w:rsidP="00866748">
      <w:pPr>
        <w:spacing w:line="360" w:lineRule="auto"/>
        <w:ind w:firstLineChars="200" w:firstLine="420"/>
        <w:rPr>
          <w:rFonts w:ascii="宋体" w:eastAsia="宋体" w:hAnsi="宋体" w:cs="宋体"/>
          <w:kern w:val="0"/>
          <w:szCs w:val="21"/>
        </w:rPr>
      </w:pPr>
    </w:p>
    <w:p w:rsidR="00290B13" w:rsidRDefault="00D77EAF" w:rsidP="00866748">
      <w:pPr>
        <w:spacing w:line="360" w:lineRule="auto"/>
        <w:ind w:firstLineChars="200" w:firstLine="420"/>
        <w:rPr>
          <w:rFonts w:ascii="宋体" w:eastAsia="宋体" w:hAnsi="宋体" w:cs="宋体"/>
          <w:kern w:val="0"/>
          <w:szCs w:val="21"/>
        </w:rPr>
      </w:pPr>
      <w:r w:rsidRPr="00290B13">
        <w:rPr>
          <w:rFonts w:ascii="宋体" w:eastAsia="宋体" w:hAnsi="宋体" w:cs="宋体"/>
          <w:kern w:val="0"/>
          <w:szCs w:val="21"/>
        </w:rPr>
        <w:t>三、投资者可通过以下途径咨询有关详情：</w:t>
      </w:r>
    </w:p>
    <w:p w:rsidR="007E2B57" w:rsidRPr="009D276B" w:rsidRDefault="007E2B57" w:rsidP="007E2B57">
      <w:pPr>
        <w:pStyle w:val="a4"/>
        <w:spacing w:line="390" w:lineRule="atLeast"/>
        <w:ind w:firstLineChars="200" w:firstLine="420"/>
        <w:rPr>
          <w:sz w:val="21"/>
          <w:szCs w:val="21"/>
        </w:rPr>
      </w:pPr>
      <w:r w:rsidRPr="009D276B">
        <w:rPr>
          <w:rFonts w:hint="eastAsia"/>
          <w:sz w:val="21"/>
          <w:szCs w:val="21"/>
        </w:rPr>
        <w:t>1、浙商基金管理有限公司</w:t>
      </w:r>
    </w:p>
    <w:p w:rsidR="007E2B57" w:rsidRPr="009D276B" w:rsidRDefault="007E2B57" w:rsidP="007E2B57">
      <w:pPr>
        <w:pStyle w:val="a4"/>
        <w:spacing w:line="390" w:lineRule="atLeast"/>
        <w:ind w:firstLineChars="200" w:firstLine="420"/>
        <w:rPr>
          <w:sz w:val="21"/>
          <w:szCs w:val="21"/>
        </w:rPr>
      </w:pPr>
      <w:r w:rsidRPr="009D276B">
        <w:rPr>
          <w:rFonts w:hint="eastAsia"/>
          <w:sz w:val="21"/>
          <w:szCs w:val="21"/>
        </w:rPr>
        <w:t>网址：www.zsfund.com</w:t>
      </w:r>
    </w:p>
    <w:p w:rsidR="007E2B57" w:rsidRPr="009D276B" w:rsidRDefault="007E2B57" w:rsidP="007E2B57">
      <w:pPr>
        <w:pStyle w:val="a4"/>
        <w:spacing w:line="390" w:lineRule="atLeast"/>
        <w:ind w:firstLineChars="200" w:firstLine="420"/>
        <w:rPr>
          <w:sz w:val="21"/>
          <w:szCs w:val="21"/>
        </w:rPr>
      </w:pPr>
      <w:r w:rsidRPr="009D276B">
        <w:rPr>
          <w:rFonts w:hint="eastAsia"/>
          <w:sz w:val="21"/>
          <w:szCs w:val="21"/>
        </w:rPr>
        <w:t>客户服务电话：400-067-9908</w:t>
      </w:r>
    </w:p>
    <w:p w:rsidR="007E2B57" w:rsidRPr="009D276B" w:rsidRDefault="007E2B57" w:rsidP="007E2B57">
      <w:pPr>
        <w:pStyle w:val="a4"/>
        <w:spacing w:line="390" w:lineRule="atLeast"/>
        <w:ind w:firstLineChars="200" w:firstLine="420"/>
        <w:rPr>
          <w:sz w:val="21"/>
          <w:szCs w:val="21"/>
        </w:rPr>
      </w:pPr>
      <w:r w:rsidRPr="009D276B">
        <w:rPr>
          <w:rFonts w:hint="eastAsia"/>
          <w:sz w:val="21"/>
          <w:szCs w:val="21"/>
        </w:rPr>
        <w:t>2、</w:t>
      </w:r>
      <w:r w:rsidR="003E73FF" w:rsidRPr="003E73FF">
        <w:rPr>
          <w:rFonts w:hint="eastAsia"/>
          <w:sz w:val="21"/>
          <w:szCs w:val="21"/>
        </w:rPr>
        <w:t>中信证券（山东）有限责任公司</w:t>
      </w:r>
    </w:p>
    <w:p w:rsidR="007E2B57" w:rsidRPr="009D276B" w:rsidRDefault="00900B52" w:rsidP="007E2B57">
      <w:pPr>
        <w:pStyle w:val="a4"/>
        <w:spacing w:line="390" w:lineRule="atLeast"/>
        <w:ind w:firstLineChars="200" w:firstLine="420"/>
        <w:rPr>
          <w:sz w:val="21"/>
          <w:szCs w:val="21"/>
        </w:rPr>
      </w:pPr>
      <w:r w:rsidRPr="009D276B">
        <w:rPr>
          <w:rFonts w:hint="eastAsia"/>
          <w:sz w:val="21"/>
          <w:szCs w:val="21"/>
        </w:rPr>
        <w:t>网址</w:t>
      </w:r>
      <w:r w:rsidR="007E2B57" w:rsidRPr="009D276B">
        <w:rPr>
          <w:rFonts w:hint="eastAsia"/>
          <w:sz w:val="21"/>
          <w:szCs w:val="21"/>
        </w:rPr>
        <w:t>：</w:t>
      </w:r>
      <w:r w:rsidR="003E73FF" w:rsidRPr="003E73FF">
        <w:rPr>
          <w:sz w:val="21"/>
          <w:szCs w:val="21"/>
        </w:rPr>
        <w:t>http://sd.citics.com</w:t>
      </w:r>
    </w:p>
    <w:p w:rsidR="007E2B57" w:rsidRDefault="007E2B57" w:rsidP="007E2B57">
      <w:pPr>
        <w:pStyle w:val="a4"/>
        <w:spacing w:line="390" w:lineRule="atLeast"/>
        <w:ind w:firstLineChars="200" w:firstLine="420"/>
        <w:rPr>
          <w:sz w:val="21"/>
          <w:szCs w:val="21"/>
        </w:rPr>
      </w:pPr>
      <w:r w:rsidRPr="009D276B">
        <w:rPr>
          <w:rFonts w:hint="eastAsia"/>
          <w:sz w:val="21"/>
          <w:szCs w:val="21"/>
        </w:rPr>
        <w:t>客户服务电话：</w:t>
      </w:r>
      <w:r w:rsidR="003E73FF">
        <w:rPr>
          <w:sz w:val="21"/>
          <w:szCs w:val="21"/>
        </w:rPr>
        <w:t>95548</w:t>
      </w:r>
    </w:p>
    <w:p w:rsidR="00290B13" w:rsidRDefault="00290B13" w:rsidP="00866748">
      <w:pPr>
        <w:spacing w:line="360" w:lineRule="auto"/>
        <w:ind w:firstLineChars="200" w:firstLine="420"/>
        <w:rPr>
          <w:rFonts w:ascii="宋体" w:eastAsia="宋体" w:hAnsi="宋体" w:cs="宋体"/>
          <w:kern w:val="0"/>
          <w:szCs w:val="21"/>
        </w:rPr>
      </w:pPr>
    </w:p>
    <w:p w:rsidR="007E2B57" w:rsidRDefault="007E2B57" w:rsidP="00866748">
      <w:pPr>
        <w:spacing w:line="360" w:lineRule="auto"/>
        <w:ind w:firstLineChars="200" w:firstLine="420"/>
        <w:rPr>
          <w:rFonts w:ascii="宋体" w:eastAsia="宋体" w:hAnsi="宋体" w:cs="宋体"/>
          <w:kern w:val="0"/>
          <w:szCs w:val="21"/>
        </w:rPr>
      </w:pPr>
      <w:r>
        <w:rPr>
          <w:rFonts w:ascii="宋体" w:eastAsia="宋体" w:hAnsi="宋体" w:cs="宋体"/>
          <w:kern w:val="0"/>
          <w:szCs w:val="21"/>
        </w:rPr>
        <w:t>四、风险提示</w:t>
      </w:r>
    </w:p>
    <w:p w:rsidR="007E2B57" w:rsidRDefault="007E2B57" w:rsidP="007E2B57">
      <w:pPr>
        <w:pStyle w:val="a4"/>
        <w:spacing w:line="390" w:lineRule="atLeast"/>
        <w:ind w:firstLineChars="200" w:firstLine="420"/>
        <w:rPr>
          <w:sz w:val="21"/>
          <w:szCs w:val="21"/>
        </w:rPr>
      </w:pPr>
      <w:r>
        <w:rPr>
          <w:rFonts w:hint="eastAsia"/>
          <w:sz w:val="21"/>
          <w:szCs w:val="21"/>
        </w:rPr>
        <w:t>1、</w:t>
      </w:r>
      <w:r w:rsidRPr="00C46F3C">
        <w:rPr>
          <w:rFonts w:hint="eastAsia"/>
          <w:sz w:val="21"/>
          <w:szCs w:val="21"/>
        </w:rPr>
        <w:t>基金管理人依照恪尽职守、诚实信用、谨慎勤勉的原则管理和运用基金财产，但不保证基金一定盈利，也不保证最低收益。基金管理人提醒投资者基金投资的“买者自负”</w:t>
      </w:r>
      <w:r w:rsidRPr="00C46F3C">
        <w:rPr>
          <w:rFonts w:hint="eastAsia"/>
          <w:sz w:val="21"/>
          <w:szCs w:val="21"/>
        </w:rPr>
        <w:lastRenderedPageBreak/>
        <w:t>原则，在做出投资决策后，基金运营状况与基金净值变化引致的投资风险，由投资者自行承担。</w:t>
      </w:r>
      <w:r w:rsidRPr="00D54347">
        <w:rPr>
          <w:rFonts w:hint="eastAsia"/>
          <w:sz w:val="21"/>
          <w:szCs w:val="21"/>
        </w:rPr>
        <w:t>投资有风险，选择须谨慎</w:t>
      </w:r>
      <w:r w:rsidRPr="00C46F3C">
        <w:rPr>
          <w:rFonts w:hint="eastAsia"/>
          <w:sz w:val="21"/>
          <w:szCs w:val="21"/>
        </w:rPr>
        <w:t>。敬请投资者于投资前认真阅读</w:t>
      </w:r>
      <w:r>
        <w:rPr>
          <w:rFonts w:hint="eastAsia"/>
          <w:sz w:val="21"/>
          <w:szCs w:val="21"/>
        </w:rPr>
        <w:t>各</w:t>
      </w:r>
      <w:r w:rsidRPr="00C46F3C">
        <w:rPr>
          <w:rFonts w:hint="eastAsia"/>
          <w:sz w:val="21"/>
          <w:szCs w:val="21"/>
        </w:rPr>
        <w:t>基金的基金合同、最新招募说明书及其他法律文件。</w:t>
      </w:r>
    </w:p>
    <w:p w:rsidR="007E2B57" w:rsidRPr="004F3DA3" w:rsidRDefault="007E2B57" w:rsidP="007E2B57">
      <w:pPr>
        <w:pStyle w:val="a4"/>
        <w:spacing w:line="390" w:lineRule="atLeast"/>
        <w:ind w:firstLineChars="200" w:firstLine="420"/>
        <w:rPr>
          <w:sz w:val="21"/>
          <w:szCs w:val="21"/>
        </w:rPr>
      </w:pPr>
      <w:r w:rsidRPr="004F3DA3">
        <w:rPr>
          <w:rFonts w:hint="eastAsia"/>
          <w:sz w:val="21"/>
          <w:szCs w:val="21"/>
        </w:rPr>
        <w:t>2、投资者应当充分了解基金定投和零存整取等储蓄方式的区别。定投是引导投资者进行长期投资、平均投资成本的一种简单易行的投资方式，但是其并不能规避基金投资所固有的风险，不能保证投资者获得收益，也不是替代储蓄的等效理财方式。</w:t>
      </w:r>
    </w:p>
    <w:p w:rsidR="005760CA" w:rsidRPr="00CE6EA9" w:rsidRDefault="00343748" w:rsidP="007E2B57">
      <w:pPr>
        <w:spacing w:line="360" w:lineRule="auto"/>
        <w:ind w:firstLineChars="200" w:firstLine="420"/>
        <w:rPr>
          <w:rFonts w:ascii="宋体" w:eastAsia="宋体" w:hAnsi="宋体" w:cs="宋体"/>
          <w:kern w:val="0"/>
          <w:szCs w:val="21"/>
        </w:rPr>
      </w:pPr>
    </w:p>
    <w:p w:rsidR="007E2B57" w:rsidRPr="00C46F3C" w:rsidRDefault="007E2B57" w:rsidP="007E2B57">
      <w:pPr>
        <w:pStyle w:val="a4"/>
        <w:spacing w:line="390" w:lineRule="atLeast"/>
        <w:ind w:firstLineChars="200" w:firstLine="420"/>
        <w:rPr>
          <w:sz w:val="21"/>
          <w:szCs w:val="21"/>
        </w:rPr>
      </w:pPr>
      <w:r w:rsidRPr="00F27F4C">
        <w:rPr>
          <w:rFonts w:hint="eastAsia"/>
          <w:sz w:val="21"/>
          <w:szCs w:val="21"/>
        </w:rPr>
        <w:t>特此公告。</w:t>
      </w:r>
    </w:p>
    <w:p w:rsidR="007E2B57" w:rsidRPr="00CE6EA9" w:rsidRDefault="007E2B57" w:rsidP="007E2B57">
      <w:pPr>
        <w:adjustRightInd w:val="0"/>
        <w:snapToGrid w:val="0"/>
        <w:spacing w:line="360" w:lineRule="auto"/>
        <w:jc w:val="right"/>
        <w:rPr>
          <w:rFonts w:ascii="宋体" w:eastAsia="宋体" w:hAnsi="宋体" w:cs="宋体"/>
          <w:kern w:val="0"/>
          <w:szCs w:val="21"/>
        </w:rPr>
      </w:pPr>
    </w:p>
    <w:p w:rsidR="007E2B57" w:rsidRPr="00CE6EA9" w:rsidRDefault="007E2B57" w:rsidP="007E2B57">
      <w:pPr>
        <w:adjustRightInd w:val="0"/>
        <w:snapToGrid w:val="0"/>
        <w:spacing w:line="360" w:lineRule="auto"/>
        <w:jc w:val="right"/>
        <w:rPr>
          <w:rFonts w:ascii="宋体" w:eastAsia="宋体" w:hAnsi="宋体" w:cs="宋体"/>
          <w:kern w:val="0"/>
          <w:szCs w:val="21"/>
        </w:rPr>
      </w:pPr>
      <w:r w:rsidRPr="00CE6EA9">
        <w:rPr>
          <w:rFonts w:ascii="宋体" w:eastAsia="宋体" w:hAnsi="宋体" w:cs="宋体" w:hint="eastAsia"/>
          <w:kern w:val="0"/>
          <w:szCs w:val="21"/>
        </w:rPr>
        <w:t>浙商基金管理有限公司</w:t>
      </w:r>
    </w:p>
    <w:p w:rsidR="007E2B57" w:rsidRPr="00CE6EA9" w:rsidRDefault="00AE6D16" w:rsidP="007E2B57">
      <w:pPr>
        <w:adjustRightInd w:val="0"/>
        <w:snapToGrid w:val="0"/>
        <w:spacing w:line="360" w:lineRule="auto"/>
        <w:jc w:val="right"/>
        <w:rPr>
          <w:rFonts w:ascii="宋体" w:eastAsia="宋体" w:hAnsi="宋体" w:cs="宋体"/>
          <w:kern w:val="0"/>
          <w:szCs w:val="21"/>
        </w:rPr>
      </w:pPr>
      <w:r w:rsidRPr="00CE6EA9">
        <w:rPr>
          <w:rFonts w:ascii="宋体" w:eastAsia="宋体" w:hAnsi="宋体" w:cs="宋体" w:hint="eastAsia"/>
          <w:kern w:val="0"/>
          <w:szCs w:val="21"/>
        </w:rPr>
        <w:t>2021年</w:t>
      </w:r>
      <w:r>
        <w:rPr>
          <w:rFonts w:ascii="宋体" w:eastAsia="宋体" w:hAnsi="宋体" w:cs="宋体"/>
          <w:kern w:val="0"/>
          <w:szCs w:val="21"/>
        </w:rPr>
        <w:t>10</w:t>
      </w:r>
      <w:r w:rsidR="007E2B57" w:rsidRPr="00CE6EA9">
        <w:rPr>
          <w:rFonts w:ascii="宋体" w:eastAsia="宋体" w:hAnsi="宋体" w:cs="宋体" w:hint="eastAsia"/>
          <w:kern w:val="0"/>
          <w:szCs w:val="21"/>
        </w:rPr>
        <w:t>月</w:t>
      </w:r>
      <w:r w:rsidR="00266442">
        <w:rPr>
          <w:rFonts w:ascii="宋体" w:eastAsia="宋体" w:hAnsi="宋体" w:cs="宋体"/>
          <w:kern w:val="0"/>
          <w:szCs w:val="21"/>
        </w:rPr>
        <w:t>19</w:t>
      </w:r>
      <w:r w:rsidR="007E2B57" w:rsidRPr="00CE6EA9">
        <w:rPr>
          <w:rFonts w:ascii="宋体" w:eastAsia="宋体" w:hAnsi="宋体" w:cs="宋体" w:hint="eastAsia"/>
          <w:kern w:val="0"/>
          <w:szCs w:val="21"/>
        </w:rPr>
        <w:t>日</w:t>
      </w:r>
    </w:p>
    <w:p w:rsidR="007E2B57" w:rsidRPr="00CE6EA9" w:rsidRDefault="007E2B57" w:rsidP="007E2B57">
      <w:pPr>
        <w:spacing w:line="360" w:lineRule="auto"/>
        <w:ind w:firstLineChars="200" w:firstLine="420"/>
        <w:rPr>
          <w:rFonts w:ascii="宋体" w:eastAsia="宋体" w:hAnsi="宋体" w:cs="宋体"/>
          <w:kern w:val="0"/>
          <w:szCs w:val="21"/>
        </w:rPr>
      </w:pPr>
    </w:p>
    <w:sectPr w:rsidR="007E2B57" w:rsidRPr="00CE6E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748" w:rsidRDefault="00343748" w:rsidP="00933F38">
      <w:r>
        <w:separator/>
      </w:r>
    </w:p>
  </w:endnote>
  <w:endnote w:type="continuationSeparator" w:id="0">
    <w:p w:rsidR="00343748" w:rsidRDefault="00343748" w:rsidP="0093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748" w:rsidRDefault="00343748" w:rsidP="00933F38">
      <w:r>
        <w:separator/>
      </w:r>
    </w:p>
  </w:footnote>
  <w:footnote w:type="continuationSeparator" w:id="0">
    <w:p w:rsidR="00343748" w:rsidRDefault="00343748" w:rsidP="00933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572BF"/>
    <w:multiLevelType w:val="hybridMultilevel"/>
    <w:tmpl w:val="83E0A612"/>
    <w:lvl w:ilvl="0" w:tplc="C7C4442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5C"/>
    <w:rsid w:val="0005552C"/>
    <w:rsid w:val="000A029D"/>
    <w:rsid w:val="000F2A2A"/>
    <w:rsid w:val="00266442"/>
    <w:rsid w:val="00277C1C"/>
    <w:rsid w:val="00290B13"/>
    <w:rsid w:val="002A443C"/>
    <w:rsid w:val="002D1492"/>
    <w:rsid w:val="002D63CA"/>
    <w:rsid w:val="003075F7"/>
    <w:rsid w:val="00343748"/>
    <w:rsid w:val="003512D3"/>
    <w:rsid w:val="00364FA6"/>
    <w:rsid w:val="00381F9D"/>
    <w:rsid w:val="003E47F1"/>
    <w:rsid w:val="003E73FF"/>
    <w:rsid w:val="003F0F32"/>
    <w:rsid w:val="004E245A"/>
    <w:rsid w:val="0058238F"/>
    <w:rsid w:val="006704D9"/>
    <w:rsid w:val="00694C0F"/>
    <w:rsid w:val="00766D8F"/>
    <w:rsid w:val="007B2202"/>
    <w:rsid w:val="007B4103"/>
    <w:rsid w:val="007E2B57"/>
    <w:rsid w:val="007F6014"/>
    <w:rsid w:val="0082250E"/>
    <w:rsid w:val="00866748"/>
    <w:rsid w:val="00874A4A"/>
    <w:rsid w:val="008B1D94"/>
    <w:rsid w:val="00900B52"/>
    <w:rsid w:val="00933F38"/>
    <w:rsid w:val="00943DF0"/>
    <w:rsid w:val="00992D40"/>
    <w:rsid w:val="00A23FA8"/>
    <w:rsid w:val="00A336FB"/>
    <w:rsid w:val="00AE5B11"/>
    <w:rsid w:val="00AE6D16"/>
    <w:rsid w:val="00B13E0B"/>
    <w:rsid w:val="00B76F46"/>
    <w:rsid w:val="00CA1595"/>
    <w:rsid w:val="00CC7BAB"/>
    <w:rsid w:val="00CD482C"/>
    <w:rsid w:val="00CE51C8"/>
    <w:rsid w:val="00CE6EA9"/>
    <w:rsid w:val="00D11F6B"/>
    <w:rsid w:val="00D414B5"/>
    <w:rsid w:val="00D77EAF"/>
    <w:rsid w:val="00DC7366"/>
    <w:rsid w:val="00E1020E"/>
    <w:rsid w:val="00E1775C"/>
    <w:rsid w:val="00EC267B"/>
    <w:rsid w:val="00ED30BD"/>
    <w:rsid w:val="00F15E9F"/>
    <w:rsid w:val="00F26F9C"/>
    <w:rsid w:val="00F31D84"/>
    <w:rsid w:val="00F86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F87D8D-F1A2-4BE6-B351-96E33F4D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63CA"/>
    <w:pPr>
      <w:ind w:firstLineChars="200" w:firstLine="420"/>
    </w:pPr>
  </w:style>
  <w:style w:type="paragraph" w:styleId="a4">
    <w:name w:val="Normal (Web)"/>
    <w:basedOn w:val="a"/>
    <w:uiPriority w:val="99"/>
    <w:unhideWhenUsed/>
    <w:rsid w:val="007E2B57"/>
    <w:pPr>
      <w:widowControl/>
      <w:ind w:firstLine="480"/>
      <w:jc w:val="left"/>
    </w:pPr>
    <w:rPr>
      <w:rFonts w:ascii="宋体" w:eastAsia="宋体" w:hAnsi="宋体" w:cs="宋体"/>
      <w:kern w:val="0"/>
      <w:sz w:val="24"/>
      <w:szCs w:val="24"/>
    </w:rPr>
  </w:style>
  <w:style w:type="paragraph" w:styleId="a5">
    <w:name w:val="header"/>
    <w:basedOn w:val="a"/>
    <w:link w:val="a6"/>
    <w:uiPriority w:val="99"/>
    <w:unhideWhenUsed/>
    <w:rsid w:val="00933F3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33F38"/>
    <w:rPr>
      <w:sz w:val="18"/>
      <w:szCs w:val="18"/>
    </w:rPr>
  </w:style>
  <w:style w:type="paragraph" w:styleId="a7">
    <w:name w:val="footer"/>
    <w:basedOn w:val="a"/>
    <w:link w:val="a8"/>
    <w:uiPriority w:val="99"/>
    <w:unhideWhenUsed/>
    <w:rsid w:val="00933F38"/>
    <w:pPr>
      <w:tabs>
        <w:tab w:val="center" w:pos="4153"/>
        <w:tab w:val="right" w:pos="8306"/>
      </w:tabs>
      <w:snapToGrid w:val="0"/>
      <w:jc w:val="left"/>
    </w:pPr>
    <w:rPr>
      <w:sz w:val="18"/>
      <w:szCs w:val="18"/>
    </w:rPr>
  </w:style>
  <w:style w:type="character" w:customStyle="1" w:styleId="a8">
    <w:name w:val="页脚 字符"/>
    <w:basedOn w:val="a0"/>
    <w:link w:val="a7"/>
    <w:uiPriority w:val="99"/>
    <w:rsid w:val="00933F38"/>
    <w:rPr>
      <w:sz w:val="18"/>
      <w:szCs w:val="18"/>
    </w:rPr>
  </w:style>
  <w:style w:type="paragraph" w:styleId="a9">
    <w:name w:val="Balloon Text"/>
    <w:basedOn w:val="a"/>
    <w:link w:val="aa"/>
    <w:uiPriority w:val="99"/>
    <w:semiHidden/>
    <w:unhideWhenUsed/>
    <w:rsid w:val="00CD482C"/>
    <w:rPr>
      <w:sz w:val="18"/>
      <w:szCs w:val="18"/>
    </w:rPr>
  </w:style>
  <w:style w:type="character" w:customStyle="1" w:styleId="aa">
    <w:name w:val="批注框文本 字符"/>
    <w:basedOn w:val="a0"/>
    <w:link w:val="a9"/>
    <w:uiPriority w:val="99"/>
    <w:semiHidden/>
    <w:rsid w:val="00CD48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夏思飞</dc:creator>
  <cp:keywords/>
  <dc:description/>
  <cp:lastModifiedBy>夏思飞</cp:lastModifiedBy>
  <cp:revision>22</cp:revision>
  <dcterms:created xsi:type="dcterms:W3CDTF">2021-09-23T02:21:00Z</dcterms:created>
  <dcterms:modified xsi:type="dcterms:W3CDTF">2021-10-18T05:27:00Z</dcterms:modified>
</cp:coreProperties>
</file>